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87458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C198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e01dbf71b$755b568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e01dbf71b$755b568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198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C1983">
      <w:pPr>
        <w:pStyle w:val="a3"/>
        <w:jc w:val="center"/>
        <w:divId w:val="387458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C1983">
      <w:pPr>
        <w:pStyle w:val="a3"/>
        <w:jc w:val="center"/>
        <w:divId w:val="36518028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ՄԱՅՄԵԽԻ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ՌՈԲԵՐՏ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</w:t>
      </w:r>
      <w:r>
        <w:rPr>
          <w:sz w:val="22"/>
          <w:szCs w:val="22"/>
        </w:rPr>
        <w:t>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ՌԵՍՏՈՐԱՆԻ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ԶԲԱՂԵՑՐԱԾ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ՀՈՂՀԱՏԿԱՑՄԱՆ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ՀԻՄՔԵՐԸ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ՎԵՐԱԿԱՆԳՆԵԼՈՒ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ՀԱՄԱՊԱՏԱՍԽԱՆԵՑՆԵԼՈՒ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ԱՆՀԱՏՈՒՅՑ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proofErr w:type="spellStart"/>
      <w:r w:rsidRPr="00205306">
        <w:rPr>
          <w:sz w:val="22"/>
          <w:szCs w:val="22"/>
        </w:rPr>
        <w:t>Հիմք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ընդունելով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Ռոբերտ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Ռաֆիկի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Մարտիրոսյանի</w:t>
      </w:r>
      <w:proofErr w:type="spellEnd"/>
      <w:r w:rsidRPr="00205306">
        <w:rPr>
          <w:sz w:val="22"/>
          <w:szCs w:val="22"/>
        </w:rPr>
        <w:t xml:space="preserve"> 10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05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2023</w:t>
      </w:r>
      <w:r w:rsidRPr="00205306">
        <w:rPr>
          <w:sz w:val="22"/>
          <w:szCs w:val="22"/>
        </w:rPr>
        <w:t>թ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02/7472 </w:t>
      </w:r>
      <w:proofErr w:type="spellStart"/>
      <w:r w:rsidRPr="00205306">
        <w:rPr>
          <w:sz w:val="22"/>
          <w:szCs w:val="22"/>
        </w:rPr>
        <w:t>դիմումը</w:t>
      </w:r>
      <w:proofErr w:type="spellEnd"/>
      <w:r w:rsidRPr="00205306">
        <w:rPr>
          <w:sz w:val="22"/>
          <w:szCs w:val="22"/>
        </w:rPr>
        <w:t>,</w:t>
      </w:r>
      <w:r w:rsidR="00205306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05306">
        <w:rPr>
          <w:sz w:val="22"/>
          <w:szCs w:val="22"/>
        </w:rPr>
        <w:t>անշարժ</w:t>
      </w:r>
      <w:proofErr w:type="spellEnd"/>
      <w:r w:rsidR="00205306">
        <w:rPr>
          <w:sz w:val="22"/>
          <w:szCs w:val="22"/>
          <w:lang w:val="hy-AM"/>
        </w:rPr>
        <w:t xml:space="preserve"> </w:t>
      </w:r>
      <w:proofErr w:type="spellStart"/>
      <w:r w:rsidRPr="00205306">
        <w:rPr>
          <w:sz w:val="22"/>
          <w:szCs w:val="22"/>
        </w:rPr>
        <w:t>գույքի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սեփականության</w:t>
      </w:r>
      <w:proofErr w:type="spellEnd"/>
      <w:r w:rsidRPr="00205306">
        <w:rPr>
          <w:sz w:val="22"/>
          <w:szCs w:val="22"/>
        </w:rPr>
        <w:t xml:space="preserve"> (</w:t>
      </w:r>
      <w:proofErr w:type="spellStart"/>
      <w:r w:rsidRPr="00205306">
        <w:rPr>
          <w:sz w:val="22"/>
          <w:szCs w:val="22"/>
        </w:rPr>
        <w:t>օգտագործման</w:t>
      </w:r>
      <w:proofErr w:type="spellEnd"/>
      <w:r w:rsidRPr="00205306">
        <w:rPr>
          <w:sz w:val="22"/>
          <w:szCs w:val="22"/>
        </w:rPr>
        <w:t xml:space="preserve">) </w:t>
      </w:r>
      <w:proofErr w:type="spellStart"/>
      <w:r w:rsidRPr="00205306">
        <w:rPr>
          <w:sz w:val="22"/>
          <w:szCs w:val="22"/>
        </w:rPr>
        <w:t>իրավունքի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գրանցման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1982953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1982954 </w:t>
      </w:r>
      <w:r w:rsidRPr="00205306">
        <w:rPr>
          <w:sz w:val="22"/>
          <w:szCs w:val="22"/>
        </w:rPr>
        <w:t>վկայականները</w:t>
      </w:r>
      <w:r w:rsidRPr="00205306">
        <w:rPr>
          <w:sz w:val="22"/>
          <w:szCs w:val="22"/>
        </w:rPr>
        <w:t>,22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04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20</w:t>
      </w:r>
      <w:r w:rsidRPr="00205306">
        <w:rPr>
          <w:sz w:val="22"/>
          <w:szCs w:val="22"/>
        </w:rPr>
        <w:t xml:space="preserve">02 </w:t>
      </w:r>
      <w:proofErr w:type="spellStart"/>
      <w:r w:rsidRPr="00205306">
        <w:rPr>
          <w:sz w:val="22"/>
          <w:szCs w:val="22"/>
        </w:rPr>
        <w:t>թվականի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2/336 </w:t>
      </w:r>
      <w:proofErr w:type="spellStart"/>
      <w:r w:rsidRPr="00205306">
        <w:rPr>
          <w:sz w:val="22"/>
          <w:szCs w:val="22"/>
        </w:rPr>
        <w:t>Լոռու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մարզ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առաջին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ատյանի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դատարանի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վճիռը</w:t>
      </w:r>
      <w:r w:rsidRPr="00205306">
        <w:rPr>
          <w:sz w:val="22"/>
          <w:szCs w:val="22"/>
        </w:rPr>
        <w:t>,</w:t>
      </w:r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05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03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2025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ավագանու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Լոռու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մարզի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տարածական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պլանավորման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նախագիծը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հաստատելու</w:t>
      </w:r>
      <w:proofErr w:type="spellEnd"/>
      <w:r w:rsidR="00205306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մասին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7-</w:t>
      </w:r>
      <w:r w:rsidRPr="00205306">
        <w:rPr>
          <w:color w:val="333333"/>
          <w:sz w:val="22"/>
          <w:szCs w:val="22"/>
        </w:rPr>
        <w:t>Լ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որոշումը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/</w:t>
      </w:r>
      <w:proofErr w:type="spellStart"/>
      <w:r w:rsidRPr="00205306">
        <w:rPr>
          <w:color w:val="333333"/>
          <w:sz w:val="22"/>
          <w:szCs w:val="22"/>
        </w:rPr>
        <w:t>գլխավոր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հատակագիծը</w:t>
      </w:r>
      <w:proofErr w:type="spellEnd"/>
      <w:r w:rsidRPr="00205306">
        <w:rPr>
          <w:color w:val="333333"/>
          <w:sz w:val="22"/>
          <w:szCs w:val="22"/>
        </w:rPr>
        <w:t>/,</w:t>
      </w:r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վարչապետի</w:t>
      </w:r>
      <w:proofErr w:type="spellEnd"/>
      <w:r w:rsidRPr="00205306">
        <w:rPr>
          <w:color w:val="333333"/>
          <w:sz w:val="22"/>
          <w:szCs w:val="22"/>
        </w:rPr>
        <w:t xml:space="preserve"> 2</w:t>
      </w:r>
      <w:r w:rsidRPr="00205306">
        <w:rPr>
          <w:color w:val="333333"/>
          <w:sz w:val="22"/>
          <w:szCs w:val="22"/>
        </w:rPr>
        <w:t xml:space="preserve">009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դեկտեմբերի</w:t>
      </w:r>
      <w:proofErr w:type="spellEnd"/>
      <w:r w:rsidRPr="00205306">
        <w:rPr>
          <w:color w:val="333333"/>
          <w:sz w:val="22"/>
          <w:szCs w:val="22"/>
        </w:rPr>
        <w:t xml:space="preserve"> 22-</w:t>
      </w:r>
      <w:r w:rsidRPr="00205306">
        <w:rPr>
          <w:color w:val="333333"/>
          <w:sz w:val="22"/>
          <w:szCs w:val="22"/>
        </w:rPr>
        <w:t>ի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1064-</w:t>
      </w:r>
      <w:r w:rsidRPr="00205306">
        <w:rPr>
          <w:color w:val="333333"/>
          <w:sz w:val="22"/>
          <w:szCs w:val="22"/>
        </w:rPr>
        <w:t>Ա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որոշմամբ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ստեղծված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համայնքների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քաղաքաշինական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ծրագրային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մշակման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աշխատանքները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համակարգող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միջգերատեսչական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հանձնաժողովի</w:t>
      </w:r>
      <w:proofErr w:type="spellEnd"/>
      <w:r w:rsidRPr="00205306">
        <w:rPr>
          <w:color w:val="333333"/>
          <w:sz w:val="22"/>
          <w:szCs w:val="22"/>
        </w:rPr>
        <w:t xml:space="preserve"> 12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08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2024 </w:t>
      </w:r>
      <w:proofErr w:type="spellStart"/>
      <w:r w:rsidRPr="00205306">
        <w:rPr>
          <w:color w:val="333333"/>
          <w:sz w:val="22"/>
          <w:szCs w:val="22"/>
        </w:rPr>
        <w:t>թվականին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տրված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2-14 </w:t>
      </w:r>
      <w:proofErr w:type="spellStart"/>
      <w:r w:rsidRPr="00205306">
        <w:rPr>
          <w:color w:val="333333"/>
          <w:sz w:val="22"/>
          <w:szCs w:val="22"/>
        </w:rPr>
        <w:t>դրական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եզրակացությունը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 xml:space="preserve">29 </w:t>
      </w:r>
      <w:proofErr w:type="spellStart"/>
      <w:r w:rsidRPr="00205306">
        <w:rPr>
          <w:sz w:val="22"/>
          <w:szCs w:val="22"/>
        </w:rPr>
        <w:t>հուլիսի</w:t>
      </w:r>
      <w:proofErr w:type="spellEnd"/>
      <w:r w:rsidRPr="00205306">
        <w:rPr>
          <w:sz w:val="22"/>
          <w:szCs w:val="22"/>
        </w:rPr>
        <w:t xml:space="preserve"> 2008</w:t>
      </w:r>
      <w:r w:rsidRPr="00205306">
        <w:rPr>
          <w:sz w:val="22"/>
          <w:szCs w:val="22"/>
        </w:rPr>
        <w:t>թ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Վանաձորի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քա</w:t>
      </w:r>
      <w:r w:rsidRPr="00205306">
        <w:rPr>
          <w:sz w:val="22"/>
          <w:szCs w:val="22"/>
        </w:rPr>
        <w:t>ղաքապետի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1153 </w:t>
      </w:r>
      <w:proofErr w:type="spellStart"/>
      <w:r w:rsidRPr="00205306">
        <w:rPr>
          <w:sz w:val="22"/>
          <w:szCs w:val="22"/>
        </w:rPr>
        <w:t>որոշումը</w:t>
      </w:r>
      <w:proofErr w:type="spellEnd"/>
      <w:r w:rsidRPr="00205306">
        <w:rPr>
          <w:sz w:val="22"/>
          <w:szCs w:val="22"/>
        </w:rPr>
        <w:t>, 29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07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2008</w:t>
      </w:r>
      <w:r w:rsidRPr="00205306">
        <w:rPr>
          <w:sz w:val="22"/>
          <w:szCs w:val="22"/>
        </w:rPr>
        <w:t>թ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1153 </w:t>
      </w:r>
      <w:proofErr w:type="spellStart"/>
      <w:r w:rsidRPr="00205306">
        <w:rPr>
          <w:sz w:val="22"/>
          <w:szCs w:val="22"/>
        </w:rPr>
        <w:t>որոշմամբ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տրամադրված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գլխավոր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հատակագծերը</w:t>
      </w:r>
      <w:proofErr w:type="spellEnd"/>
      <w:r w:rsidRPr="00205306">
        <w:rPr>
          <w:sz w:val="22"/>
          <w:szCs w:val="22"/>
        </w:rPr>
        <w:t xml:space="preserve">, </w:t>
      </w:r>
      <w:r w:rsidRPr="00205306">
        <w:rPr>
          <w:sz w:val="22"/>
          <w:szCs w:val="22"/>
        </w:rPr>
        <w:t>ԳԱՍՊԱՐ</w:t>
      </w:r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ՎԵՔԻԼՅԱՆ</w:t>
      </w:r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ԱՁ</w:t>
      </w:r>
      <w:r w:rsidRPr="00205306">
        <w:rPr>
          <w:sz w:val="22"/>
          <w:szCs w:val="22"/>
        </w:rPr>
        <w:t>-</w:t>
      </w:r>
      <w:r w:rsidRPr="00205306">
        <w:rPr>
          <w:sz w:val="22"/>
          <w:szCs w:val="22"/>
        </w:rPr>
        <w:t>ի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կողմից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տրված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հողամասերի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հատակագծերը</w:t>
      </w:r>
      <w:proofErr w:type="spellEnd"/>
      <w:r w:rsidRPr="00205306">
        <w:rPr>
          <w:sz w:val="22"/>
          <w:szCs w:val="22"/>
        </w:rPr>
        <w:t xml:space="preserve">, </w:t>
      </w:r>
      <w:r w:rsidRPr="00205306">
        <w:rPr>
          <w:sz w:val="22"/>
          <w:szCs w:val="22"/>
        </w:rPr>
        <w:t>ՀՀ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կադաստրի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կոմիտեի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գույքի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առանձին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որակական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քանակական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բնութագրերի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դրա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նկատմամբ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առանձին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իրավունքն</w:t>
      </w:r>
      <w:r w:rsidRPr="00205306">
        <w:rPr>
          <w:sz w:val="22"/>
          <w:szCs w:val="22"/>
        </w:rPr>
        <w:t>երի</w:t>
      </w:r>
      <w:proofErr w:type="spellEnd"/>
      <w:r w:rsidR="0020530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205306">
        <w:rPr>
          <w:sz w:val="22"/>
          <w:szCs w:val="22"/>
        </w:rPr>
        <w:t>(</w:t>
      </w:r>
      <w:proofErr w:type="spellStart"/>
      <w:r w:rsidRPr="00205306">
        <w:rPr>
          <w:sz w:val="22"/>
          <w:szCs w:val="22"/>
        </w:rPr>
        <w:t>սահմանափակումների</w:t>
      </w:r>
      <w:proofErr w:type="spellEnd"/>
      <w:r w:rsidR="00205306">
        <w:rPr>
          <w:sz w:val="22"/>
          <w:szCs w:val="22"/>
        </w:rPr>
        <w:t>)</w:t>
      </w:r>
      <w:proofErr w:type="spellStart"/>
      <w:r w:rsidRPr="00205306">
        <w:rPr>
          <w:sz w:val="22"/>
          <w:szCs w:val="22"/>
        </w:rPr>
        <w:t>վերաբերյալ</w:t>
      </w:r>
      <w:proofErr w:type="spellEnd"/>
      <w:r w:rsidRPr="00205306">
        <w:rPr>
          <w:sz w:val="22"/>
          <w:szCs w:val="22"/>
        </w:rPr>
        <w:t xml:space="preserve"> 17.01.2022</w:t>
      </w:r>
      <w:r w:rsidRPr="00205306">
        <w:rPr>
          <w:sz w:val="22"/>
          <w:szCs w:val="22"/>
        </w:rPr>
        <w:t>թ</w:t>
      </w:r>
      <w:r w:rsidRPr="00205306">
        <w:rPr>
          <w:sz w:val="22"/>
          <w:szCs w:val="22"/>
        </w:rPr>
        <w:t xml:space="preserve">.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ԱՏ</w:t>
      </w:r>
      <w:r w:rsidRPr="00205306">
        <w:rPr>
          <w:sz w:val="22"/>
          <w:szCs w:val="22"/>
        </w:rPr>
        <w:t xml:space="preserve">-17012022-06-0739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</w:t>
      </w:r>
      <w:r w:rsidR="00205306">
        <w:rPr>
          <w:sz w:val="22"/>
          <w:szCs w:val="22"/>
        </w:rPr>
        <w:br/>
      </w:r>
      <w:r w:rsidRPr="00205306">
        <w:rPr>
          <w:sz w:val="22"/>
          <w:szCs w:val="22"/>
        </w:rPr>
        <w:t>ԱՏ</w:t>
      </w:r>
      <w:r w:rsidRPr="00205306">
        <w:rPr>
          <w:sz w:val="22"/>
          <w:szCs w:val="22"/>
        </w:rPr>
        <w:t xml:space="preserve">-17012022-06-0750 </w:t>
      </w:r>
      <w:proofErr w:type="spellStart"/>
      <w:r w:rsidRPr="00205306">
        <w:rPr>
          <w:sz w:val="22"/>
          <w:szCs w:val="22"/>
        </w:rPr>
        <w:t>տեղեկանքները</w:t>
      </w:r>
      <w:proofErr w:type="spellEnd"/>
      <w:r w:rsidRPr="00205306">
        <w:rPr>
          <w:sz w:val="22"/>
          <w:szCs w:val="22"/>
        </w:rPr>
        <w:t>,</w:t>
      </w:r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sz w:val="22"/>
          <w:szCs w:val="22"/>
        </w:rPr>
        <w:t>ղեկավարվելով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ՀՀ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հողային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օրենսգրքի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>3-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հոդվածի</w:t>
      </w:r>
      <w:proofErr w:type="spellEnd"/>
      <w:r w:rsidRPr="00205306">
        <w:rPr>
          <w:sz w:val="22"/>
          <w:szCs w:val="22"/>
        </w:rPr>
        <w:t xml:space="preserve"> 1-</w:t>
      </w:r>
      <w:r w:rsidRPr="00205306">
        <w:rPr>
          <w:sz w:val="22"/>
          <w:szCs w:val="22"/>
        </w:rPr>
        <w:t>ին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մասի</w:t>
      </w:r>
      <w:proofErr w:type="spellEnd"/>
      <w:r w:rsidRPr="00205306">
        <w:rPr>
          <w:sz w:val="22"/>
          <w:szCs w:val="22"/>
        </w:rPr>
        <w:t xml:space="preserve"> 1-</w:t>
      </w:r>
      <w:r w:rsidRPr="00205306">
        <w:rPr>
          <w:sz w:val="22"/>
          <w:szCs w:val="22"/>
        </w:rPr>
        <w:t>ին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կետով</w:t>
      </w:r>
      <w:proofErr w:type="spellEnd"/>
      <w:r w:rsidRPr="00205306">
        <w:rPr>
          <w:sz w:val="22"/>
          <w:szCs w:val="22"/>
        </w:rPr>
        <w:t>, 8-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հոդվածի</w:t>
      </w:r>
      <w:proofErr w:type="spellEnd"/>
      <w:r w:rsidRPr="00205306">
        <w:rPr>
          <w:sz w:val="22"/>
          <w:szCs w:val="22"/>
        </w:rPr>
        <w:t xml:space="preserve"> 1-</w:t>
      </w:r>
      <w:r w:rsidRPr="00205306">
        <w:rPr>
          <w:sz w:val="22"/>
          <w:szCs w:val="22"/>
        </w:rPr>
        <w:t>ին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մասով</w:t>
      </w:r>
      <w:proofErr w:type="spellEnd"/>
      <w:r w:rsidRPr="00205306">
        <w:rPr>
          <w:sz w:val="22"/>
          <w:szCs w:val="22"/>
        </w:rPr>
        <w:t>,</w:t>
      </w:r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>59-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հոդվածի</w:t>
      </w:r>
      <w:proofErr w:type="spellEnd"/>
      <w:r w:rsidRPr="00205306">
        <w:rPr>
          <w:sz w:val="22"/>
          <w:szCs w:val="22"/>
        </w:rPr>
        <w:t xml:space="preserve"> 3-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մասով</w:t>
      </w:r>
      <w:proofErr w:type="spellEnd"/>
      <w:r w:rsidRPr="00205306">
        <w:rPr>
          <w:sz w:val="22"/>
          <w:szCs w:val="22"/>
        </w:rPr>
        <w:t>, 64-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հոդվածով</w:t>
      </w:r>
      <w:proofErr w:type="spellEnd"/>
      <w:r w:rsidRPr="00205306">
        <w:rPr>
          <w:sz w:val="22"/>
          <w:szCs w:val="22"/>
        </w:rPr>
        <w:t>,</w:t>
      </w:r>
      <w:r w:rsidRPr="00205306">
        <w:rPr>
          <w:rFonts w:ascii="Calibri" w:hAnsi="Calibri" w:cs="Calibri"/>
          <w:sz w:val="22"/>
          <w:szCs w:val="22"/>
        </w:rPr>
        <w:t>  </w:t>
      </w:r>
      <w:r w:rsidRPr="00205306">
        <w:rPr>
          <w:rFonts w:cs="GHEA Grapalat"/>
          <w:sz w:val="22"/>
          <w:szCs w:val="22"/>
        </w:rPr>
        <w:t>«</w:t>
      </w:r>
      <w:proofErr w:type="spellStart"/>
      <w:r w:rsidRPr="00205306">
        <w:rPr>
          <w:sz w:val="22"/>
          <w:szCs w:val="22"/>
        </w:rPr>
        <w:t>Տեղակա</w:t>
      </w:r>
      <w:r w:rsidRPr="00205306">
        <w:rPr>
          <w:sz w:val="22"/>
          <w:szCs w:val="22"/>
        </w:rPr>
        <w:t>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ինքնակառավարման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մասին</w:t>
      </w:r>
      <w:proofErr w:type="spellEnd"/>
      <w:r w:rsidRPr="00205306">
        <w:rPr>
          <w:sz w:val="22"/>
          <w:szCs w:val="22"/>
        </w:rPr>
        <w:t xml:space="preserve">» </w:t>
      </w:r>
      <w:r w:rsidRPr="00205306">
        <w:rPr>
          <w:sz w:val="22"/>
          <w:szCs w:val="22"/>
        </w:rPr>
        <w:t>ՀՀ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օրենքի</w:t>
      </w:r>
      <w:proofErr w:type="spellEnd"/>
      <w:r w:rsidRPr="00205306">
        <w:rPr>
          <w:sz w:val="22"/>
          <w:szCs w:val="22"/>
        </w:rPr>
        <w:t xml:space="preserve"> 43-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հոդվածի</w:t>
      </w:r>
      <w:proofErr w:type="spellEnd"/>
      <w:r w:rsidRPr="00205306">
        <w:rPr>
          <w:sz w:val="22"/>
          <w:szCs w:val="22"/>
        </w:rPr>
        <w:t xml:space="preserve"> 1-</w:t>
      </w:r>
      <w:r w:rsidRPr="00205306">
        <w:rPr>
          <w:sz w:val="22"/>
          <w:szCs w:val="22"/>
        </w:rPr>
        <w:t>ին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մասի</w:t>
      </w:r>
      <w:proofErr w:type="spellEnd"/>
      <w:r w:rsidRPr="00205306">
        <w:rPr>
          <w:sz w:val="22"/>
          <w:szCs w:val="22"/>
        </w:rPr>
        <w:t xml:space="preserve"> </w:t>
      </w:r>
      <w:r w:rsidR="00205306">
        <w:rPr>
          <w:sz w:val="22"/>
          <w:szCs w:val="22"/>
        </w:rPr>
        <w:br/>
      </w:r>
      <w:r w:rsidRPr="00205306">
        <w:rPr>
          <w:sz w:val="22"/>
          <w:szCs w:val="22"/>
        </w:rPr>
        <w:t>4-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կետով</w:t>
      </w:r>
      <w:proofErr w:type="spellEnd"/>
      <w:r w:rsidRPr="00205306">
        <w:rPr>
          <w:sz w:val="22"/>
          <w:szCs w:val="22"/>
        </w:rPr>
        <w:t>, «</w:t>
      </w:r>
      <w:proofErr w:type="spellStart"/>
      <w:r w:rsidRPr="00205306">
        <w:rPr>
          <w:sz w:val="22"/>
          <w:szCs w:val="22"/>
        </w:rPr>
        <w:t>Քաղաքաշինության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մասին</w:t>
      </w:r>
      <w:proofErr w:type="spellEnd"/>
      <w:r w:rsidRPr="00205306">
        <w:rPr>
          <w:sz w:val="22"/>
          <w:szCs w:val="22"/>
        </w:rPr>
        <w:t xml:space="preserve">» </w:t>
      </w:r>
      <w:r w:rsidRPr="00205306">
        <w:rPr>
          <w:sz w:val="22"/>
          <w:szCs w:val="22"/>
        </w:rPr>
        <w:t>ՀՀ</w:t>
      </w:r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օրենքի</w:t>
      </w:r>
      <w:proofErr w:type="spellEnd"/>
      <w:r w:rsidRPr="00205306">
        <w:rPr>
          <w:sz w:val="22"/>
          <w:szCs w:val="22"/>
        </w:rPr>
        <w:t xml:space="preserve"> 14</w:t>
      </w:r>
      <w:r w:rsidRPr="00205306">
        <w:rPr>
          <w:sz w:val="22"/>
          <w:szCs w:val="22"/>
          <w:vertAlign w:val="superscript"/>
        </w:rPr>
        <w:t>3</w:t>
      </w:r>
      <w:r w:rsidRPr="00205306">
        <w:rPr>
          <w:sz w:val="22"/>
          <w:szCs w:val="22"/>
        </w:rPr>
        <w:t>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հոդվածի</w:t>
      </w:r>
      <w:proofErr w:type="spellEnd"/>
      <w:r w:rsidRPr="00205306">
        <w:rPr>
          <w:sz w:val="22"/>
          <w:szCs w:val="22"/>
        </w:rPr>
        <w:t xml:space="preserve"> 11, 12, 13, 14</w:t>
      </w:r>
      <w:r w:rsidR="00205306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05306">
        <w:rPr>
          <w:sz w:val="22"/>
          <w:szCs w:val="22"/>
        </w:rPr>
        <w:t>մասերով</w:t>
      </w:r>
      <w:proofErr w:type="spellEnd"/>
      <w:r w:rsidRPr="00205306">
        <w:rPr>
          <w:sz w:val="22"/>
          <w:szCs w:val="22"/>
        </w:rPr>
        <w:t>,</w:t>
      </w:r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>ՀՀ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կառավարության</w:t>
      </w:r>
      <w:proofErr w:type="spellEnd"/>
      <w:r w:rsidRPr="00205306">
        <w:rPr>
          <w:sz w:val="22"/>
          <w:szCs w:val="22"/>
        </w:rPr>
        <w:t xml:space="preserve"> 2001</w:t>
      </w:r>
      <w:r w:rsidRPr="00205306">
        <w:rPr>
          <w:sz w:val="22"/>
          <w:szCs w:val="22"/>
        </w:rPr>
        <w:t>թ</w:t>
      </w:r>
      <w:r w:rsidRPr="00205306">
        <w:rPr>
          <w:sz w:val="22"/>
          <w:szCs w:val="22"/>
        </w:rPr>
        <w:t xml:space="preserve">. </w:t>
      </w:r>
      <w:proofErr w:type="spellStart"/>
      <w:r w:rsidRPr="00205306">
        <w:rPr>
          <w:sz w:val="22"/>
          <w:szCs w:val="22"/>
        </w:rPr>
        <w:t>ապրիլի</w:t>
      </w:r>
      <w:proofErr w:type="spellEnd"/>
      <w:r w:rsidRPr="00205306">
        <w:rPr>
          <w:sz w:val="22"/>
          <w:szCs w:val="22"/>
        </w:rPr>
        <w:t xml:space="preserve"> 12-</w:t>
      </w:r>
      <w:r w:rsidRPr="00205306">
        <w:rPr>
          <w:sz w:val="22"/>
          <w:szCs w:val="22"/>
        </w:rPr>
        <w:t>ի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286 </w:t>
      </w:r>
      <w:proofErr w:type="spellStart"/>
      <w:r w:rsidRPr="00205306">
        <w:rPr>
          <w:sz w:val="22"/>
          <w:szCs w:val="22"/>
        </w:rPr>
        <w:t>որոշմամբ</w:t>
      </w:r>
      <w:proofErr w:type="spellEnd"/>
      <w:r w:rsidR="00205306">
        <w:rPr>
          <w:sz w:val="22"/>
          <w:szCs w:val="22"/>
        </w:rPr>
        <w:t xml:space="preserve">, </w:t>
      </w:r>
      <w:r w:rsidRPr="00205306">
        <w:rPr>
          <w:sz w:val="22"/>
          <w:szCs w:val="22"/>
        </w:rPr>
        <w:t>ՀՀ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կառավարության</w:t>
      </w:r>
      <w:proofErr w:type="spellEnd"/>
      <w:r w:rsidRPr="00205306">
        <w:rPr>
          <w:sz w:val="22"/>
          <w:szCs w:val="22"/>
        </w:rPr>
        <w:t xml:space="preserve"> 2021</w:t>
      </w:r>
      <w:r w:rsidRPr="00205306">
        <w:rPr>
          <w:sz w:val="22"/>
          <w:szCs w:val="22"/>
        </w:rPr>
        <w:t>թ</w:t>
      </w:r>
      <w:r w:rsidRPr="00205306">
        <w:rPr>
          <w:sz w:val="22"/>
          <w:szCs w:val="22"/>
        </w:rPr>
        <w:t xml:space="preserve">. </w:t>
      </w:r>
      <w:proofErr w:type="spellStart"/>
      <w:r w:rsidRPr="00205306">
        <w:rPr>
          <w:sz w:val="22"/>
          <w:szCs w:val="22"/>
        </w:rPr>
        <w:t>փետրվարի</w:t>
      </w:r>
      <w:proofErr w:type="spellEnd"/>
      <w:r w:rsidRPr="00205306">
        <w:rPr>
          <w:sz w:val="22"/>
          <w:szCs w:val="22"/>
        </w:rPr>
        <w:t xml:space="preserve"> 25-</w:t>
      </w:r>
      <w:r w:rsidRPr="00205306">
        <w:rPr>
          <w:sz w:val="22"/>
          <w:szCs w:val="22"/>
        </w:rPr>
        <w:t>ի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233-</w:t>
      </w:r>
      <w:r w:rsidRPr="00205306">
        <w:rPr>
          <w:sz w:val="22"/>
          <w:szCs w:val="22"/>
        </w:rPr>
        <w:t>Ն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որոշմա</w:t>
      </w:r>
      <w:r w:rsidRPr="00205306">
        <w:rPr>
          <w:sz w:val="22"/>
          <w:szCs w:val="22"/>
        </w:rPr>
        <w:t>մբ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հաստատված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կարգի</w:t>
      </w:r>
      <w:proofErr w:type="spellEnd"/>
      <w:r w:rsidRPr="00205306">
        <w:rPr>
          <w:sz w:val="22"/>
          <w:szCs w:val="22"/>
        </w:rPr>
        <w:t xml:space="preserve"> 29-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կետի</w:t>
      </w:r>
      <w:proofErr w:type="spellEnd"/>
      <w:r w:rsidRPr="00205306">
        <w:rPr>
          <w:sz w:val="22"/>
          <w:szCs w:val="22"/>
        </w:rPr>
        <w:t xml:space="preserve"> 4-</w:t>
      </w:r>
      <w:r w:rsidRPr="00205306">
        <w:rPr>
          <w:sz w:val="22"/>
          <w:szCs w:val="22"/>
        </w:rPr>
        <w:t>րդ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ենթակետով</w:t>
      </w:r>
      <w:proofErr w:type="spellEnd"/>
      <w:r w:rsidRPr="00205306">
        <w:rPr>
          <w:sz w:val="22"/>
          <w:szCs w:val="22"/>
        </w:rPr>
        <w:t>՝</w:t>
      </w:r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rStyle w:val="a4"/>
          <w:sz w:val="22"/>
          <w:szCs w:val="22"/>
        </w:rPr>
        <w:t>որոշում</w:t>
      </w:r>
      <w:proofErr w:type="spellEnd"/>
      <w:r w:rsidRPr="00205306">
        <w:rPr>
          <w:rStyle w:val="a4"/>
          <w:sz w:val="22"/>
          <w:szCs w:val="22"/>
        </w:rPr>
        <w:t xml:space="preserve"> </w:t>
      </w:r>
      <w:proofErr w:type="spellStart"/>
      <w:r w:rsidRPr="00205306">
        <w:rPr>
          <w:rStyle w:val="a4"/>
          <w:sz w:val="22"/>
          <w:szCs w:val="22"/>
        </w:rPr>
        <w:t>եմ</w:t>
      </w:r>
      <w:proofErr w:type="spellEnd"/>
      <w:r w:rsidRPr="00205306">
        <w:rPr>
          <w:rStyle w:val="a4"/>
          <w:sz w:val="22"/>
          <w:szCs w:val="22"/>
        </w:rPr>
        <w:t>.</w:t>
      </w:r>
      <w:r w:rsidRPr="00205306">
        <w:rPr>
          <w:rStyle w:val="a4"/>
          <w:rFonts w:ascii="Calibri" w:hAnsi="Calibri" w:cs="Calibri"/>
          <w:sz w:val="22"/>
          <w:szCs w:val="22"/>
        </w:rPr>
        <w:t> 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t>1.</w:t>
      </w:r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sz w:val="22"/>
          <w:szCs w:val="22"/>
        </w:rPr>
        <w:t>Վերականգնել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համայնքի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քաղաքի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Մայմեխի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խճուղի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6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6</w:t>
      </w:r>
      <w:r w:rsidRPr="00205306">
        <w:rPr>
          <w:sz w:val="22"/>
          <w:szCs w:val="22"/>
        </w:rPr>
        <w:t>ա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հասցեներում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գտնվող</w:t>
      </w:r>
      <w:proofErr w:type="spellEnd"/>
      <w:r w:rsidRPr="00205306">
        <w:rPr>
          <w:sz w:val="22"/>
          <w:szCs w:val="22"/>
        </w:rPr>
        <w:t xml:space="preserve">, </w:t>
      </w:r>
      <w:proofErr w:type="spellStart"/>
      <w:r w:rsidRPr="00205306">
        <w:rPr>
          <w:sz w:val="22"/>
          <w:szCs w:val="22"/>
        </w:rPr>
        <w:t>Ռոբերտ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Ռաֆիկի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Մարտիրոսյանին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սեփականության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իրավունքով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պատկանող</w:t>
      </w:r>
      <w:proofErr w:type="spellEnd"/>
      <w:r w:rsidRPr="00205306">
        <w:rPr>
          <w:sz w:val="22"/>
          <w:szCs w:val="22"/>
        </w:rPr>
        <w:t xml:space="preserve"> 387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7</w:t>
      </w:r>
      <w:r w:rsidRPr="00205306">
        <w:rPr>
          <w:sz w:val="22"/>
          <w:szCs w:val="22"/>
        </w:rPr>
        <w:t>քմ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ընդհանուր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շինությունների</w:t>
      </w:r>
      <w:proofErr w:type="spellEnd"/>
      <w:r w:rsidRPr="00205306">
        <w:rPr>
          <w:sz w:val="22"/>
          <w:szCs w:val="22"/>
        </w:rPr>
        <w:t xml:space="preserve"> (</w:t>
      </w:r>
      <w:proofErr w:type="spellStart"/>
      <w:r w:rsidRPr="00205306">
        <w:rPr>
          <w:sz w:val="22"/>
          <w:szCs w:val="22"/>
        </w:rPr>
        <w:t>ռեստորանի</w:t>
      </w:r>
      <w:proofErr w:type="spellEnd"/>
      <w:r w:rsidRPr="00205306">
        <w:rPr>
          <w:sz w:val="22"/>
          <w:szCs w:val="22"/>
        </w:rPr>
        <w:t xml:space="preserve">) </w:t>
      </w:r>
      <w:proofErr w:type="spellStart"/>
      <w:r w:rsidRPr="00205306">
        <w:rPr>
          <w:sz w:val="22"/>
          <w:szCs w:val="22"/>
        </w:rPr>
        <w:t>զբաղեցրած</w:t>
      </w:r>
      <w:proofErr w:type="spellEnd"/>
      <w:r w:rsidR="0020530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205306">
        <w:rPr>
          <w:sz w:val="22"/>
          <w:szCs w:val="22"/>
        </w:rPr>
        <w:t>4444,5</w:t>
      </w:r>
      <w:r w:rsidRPr="00205306">
        <w:rPr>
          <w:sz w:val="22"/>
          <w:szCs w:val="22"/>
        </w:rPr>
        <w:t>քմ</w:t>
      </w:r>
      <w:r w:rsidRPr="00205306">
        <w:rPr>
          <w:sz w:val="22"/>
          <w:szCs w:val="22"/>
        </w:rPr>
        <w:t xml:space="preserve"> (1561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8+2882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7)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sz w:val="22"/>
          <w:szCs w:val="22"/>
        </w:rPr>
        <w:t>հողհատկացման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հիմքերը</w:t>
      </w:r>
      <w:proofErr w:type="spellEnd"/>
      <w:r w:rsidRPr="00205306">
        <w:rPr>
          <w:sz w:val="22"/>
          <w:szCs w:val="22"/>
        </w:rPr>
        <w:t>՝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համաձայն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Վանաձորի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քաղաքապետի</w:t>
      </w:r>
      <w:proofErr w:type="spellEnd"/>
      <w:r w:rsidRPr="00205306">
        <w:rPr>
          <w:sz w:val="22"/>
          <w:szCs w:val="22"/>
        </w:rPr>
        <w:t xml:space="preserve"> 29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07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2008</w:t>
      </w:r>
      <w:r w:rsidRPr="00205306">
        <w:rPr>
          <w:sz w:val="22"/>
          <w:szCs w:val="22"/>
        </w:rPr>
        <w:t>թ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1153 </w:t>
      </w:r>
      <w:proofErr w:type="spellStart"/>
      <w:r w:rsidRPr="00205306">
        <w:rPr>
          <w:sz w:val="22"/>
          <w:szCs w:val="22"/>
        </w:rPr>
        <w:t>որոշման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ԳԱՍՊԱՐ</w:t>
      </w:r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ՎԵՔԻԼՅԱՆ</w:t>
      </w:r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ԱՁ</w:t>
      </w:r>
      <w:r w:rsidRPr="00205306">
        <w:rPr>
          <w:sz w:val="22"/>
          <w:szCs w:val="22"/>
        </w:rPr>
        <w:t>-</w:t>
      </w:r>
      <w:r w:rsidRPr="00205306">
        <w:rPr>
          <w:sz w:val="22"/>
          <w:szCs w:val="22"/>
        </w:rPr>
        <w:t>ի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կողմից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տրամադրված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հատակագծերի</w:t>
      </w:r>
      <w:proofErr w:type="spellEnd"/>
      <w:r w:rsidRPr="00205306">
        <w:rPr>
          <w:sz w:val="22"/>
          <w:szCs w:val="22"/>
        </w:rPr>
        <w:t>: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lastRenderedPageBreak/>
        <w:t xml:space="preserve">2. </w:t>
      </w:r>
      <w:proofErr w:type="spellStart"/>
      <w:r w:rsidRPr="00205306">
        <w:rPr>
          <w:sz w:val="22"/>
          <w:szCs w:val="22"/>
        </w:rPr>
        <w:t>Հաստատել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համապատասխանեցնել</w:t>
      </w:r>
      <w:proofErr w:type="spellEnd"/>
      <w:r w:rsidRPr="00205306">
        <w:rPr>
          <w:sz w:val="22"/>
          <w:szCs w:val="22"/>
        </w:rPr>
        <w:t xml:space="preserve"> 0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28827 </w:t>
      </w:r>
      <w:proofErr w:type="spellStart"/>
      <w:r w:rsidRPr="00205306">
        <w:rPr>
          <w:sz w:val="22"/>
          <w:szCs w:val="22"/>
        </w:rPr>
        <w:t>հա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</w:t>
      </w:r>
      <w:r w:rsidRPr="00205306">
        <w:rPr>
          <w:sz w:val="22"/>
          <w:szCs w:val="22"/>
        </w:rPr>
        <w:t>կերեսով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հողամասի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205306">
        <w:rPr>
          <w:color w:val="333333"/>
          <w:sz w:val="22"/>
          <w:szCs w:val="22"/>
        </w:rPr>
        <w:t>նպատակային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</w:t>
      </w:r>
      <w:r w:rsidRPr="00205306">
        <w:rPr>
          <w:color w:val="333333"/>
          <w:sz w:val="22"/>
          <w:szCs w:val="22"/>
        </w:rPr>
        <w:t>և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գործառնական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նշանակությունը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բնակավայրերի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հասարակական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կառուցապատման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հողերը</w:t>
      </w:r>
      <w:proofErr w:type="spellEnd"/>
      <w:r w:rsidRPr="00205306">
        <w:rPr>
          <w:color w:val="333333"/>
          <w:sz w:val="22"/>
          <w:szCs w:val="22"/>
        </w:rPr>
        <w:t>,</w:t>
      </w:r>
      <w:r w:rsidRPr="00205306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Pr="00205306">
        <w:rPr>
          <w:color w:val="333333"/>
          <w:sz w:val="22"/>
          <w:szCs w:val="22"/>
        </w:rPr>
        <w:t>համաձայն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05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03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2025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ավագանու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Լոռու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մարզի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տարածական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պլանավորման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նախագիծը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հաստատելու</w:t>
      </w:r>
      <w:proofErr w:type="spellEnd"/>
      <w:r w:rsidR="00205306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</w:t>
      </w:r>
      <w:r w:rsidRPr="00205306">
        <w:rPr>
          <w:color w:val="333333"/>
          <w:sz w:val="22"/>
          <w:szCs w:val="22"/>
        </w:rPr>
        <w:t>սին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7-</w:t>
      </w:r>
      <w:r w:rsidRPr="00205306">
        <w:rPr>
          <w:color w:val="333333"/>
          <w:sz w:val="22"/>
          <w:szCs w:val="22"/>
        </w:rPr>
        <w:t>Լ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որոշման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/</w:t>
      </w:r>
      <w:proofErr w:type="spellStart"/>
      <w:r w:rsidRPr="00205306">
        <w:rPr>
          <w:color w:val="333333"/>
          <w:sz w:val="22"/>
          <w:szCs w:val="22"/>
        </w:rPr>
        <w:t>գլխավոր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հատակագծերի</w:t>
      </w:r>
      <w:proofErr w:type="spellEnd"/>
      <w:r w:rsidRPr="00205306">
        <w:rPr>
          <w:color w:val="333333"/>
          <w:sz w:val="22"/>
          <w:szCs w:val="22"/>
        </w:rPr>
        <w:t>/</w:t>
      </w:r>
      <w:r w:rsidRPr="00205306">
        <w:rPr>
          <w:rFonts w:ascii="Calibri" w:hAnsi="Calibri" w:cs="Calibri"/>
          <w:color w:val="333333"/>
          <w:sz w:val="22"/>
          <w:szCs w:val="22"/>
        </w:rPr>
        <w:t> 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վարչապետի</w:t>
      </w:r>
      <w:proofErr w:type="spellEnd"/>
      <w:r w:rsidRPr="00205306">
        <w:rPr>
          <w:color w:val="333333"/>
          <w:sz w:val="22"/>
          <w:szCs w:val="22"/>
        </w:rPr>
        <w:t xml:space="preserve"> 2009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դեկտեմբերի</w:t>
      </w:r>
      <w:proofErr w:type="spellEnd"/>
      <w:r w:rsidRPr="00205306">
        <w:rPr>
          <w:color w:val="333333"/>
          <w:sz w:val="22"/>
          <w:szCs w:val="22"/>
        </w:rPr>
        <w:t xml:space="preserve"> 22-</w:t>
      </w:r>
      <w:r w:rsidRPr="00205306">
        <w:rPr>
          <w:color w:val="333333"/>
          <w:sz w:val="22"/>
          <w:szCs w:val="22"/>
        </w:rPr>
        <w:t>ի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1064-</w:t>
      </w:r>
      <w:r w:rsidRPr="00205306">
        <w:rPr>
          <w:color w:val="333333"/>
          <w:sz w:val="22"/>
          <w:szCs w:val="22"/>
        </w:rPr>
        <w:t>Ա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որոշմամբ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ստեղծված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համայնքների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քաղաքաշինական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ծրագրային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մշակման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աշխատանքները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համակարգող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միջգերատեսչական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հանձնաժողովի</w:t>
      </w:r>
      <w:proofErr w:type="spellEnd"/>
      <w:r w:rsidRPr="00205306">
        <w:rPr>
          <w:color w:val="333333"/>
          <w:sz w:val="22"/>
          <w:szCs w:val="22"/>
        </w:rPr>
        <w:t xml:space="preserve"> 12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08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2024 </w:t>
      </w:r>
      <w:proofErr w:type="spellStart"/>
      <w:r w:rsidRPr="00205306">
        <w:rPr>
          <w:color w:val="333333"/>
          <w:sz w:val="22"/>
          <w:szCs w:val="22"/>
        </w:rPr>
        <w:t>թվականին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տրված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</w:t>
      </w:r>
      <w:r w:rsidRPr="00205306">
        <w:rPr>
          <w:color w:val="333333"/>
          <w:sz w:val="22"/>
          <w:szCs w:val="22"/>
        </w:rPr>
        <w:t>վ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2-14 </w:t>
      </w:r>
      <w:proofErr w:type="spellStart"/>
      <w:r w:rsidRPr="00205306">
        <w:rPr>
          <w:color w:val="333333"/>
          <w:sz w:val="22"/>
          <w:szCs w:val="22"/>
        </w:rPr>
        <w:t>դրական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եզրակացությանը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>։</w:t>
      </w:r>
      <w:r w:rsidRPr="00205306">
        <w:rPr>
          <w:color w:val="333333"/>
          <w:sz w:val="22"/>
          <w:szCs w:val="22"/>
        </w:rPr>
        <w:t>»</w:t>
      </w:r>
      <w:r w:rsidRPr="00205306">
        <w:rPr>
          <w:color w:val="333333"/>
          <w:sz w:val="22"/>
          <w:szCs w:val="22"/>
        </w:rPr>
        <w:t>։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t>3.</w:t>
      </w:r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sz w:val="22"/>
          <w:szCs w:val="22"/>
        </w:rPr>
        <w:t>Հաստատել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համապատասխանեցնել</w:t>
      </w:r>
      <w:proofErr w:type="spellEnd"/>
      <w:r w:rsidRPr="00205306">
        <w:rPr>
          <w:sz w:val="22"/>
          <w:szCs w:val="22"/>
        </w:rPr>
        <w:t xml:space="preserve"> 0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 xml:space="preserve">15618 </w:t>
      </w:r>
      <w:proofErr w:type="spellStart"/>
      <w:r w:rsidRPr="00205306">
        <w:rPr>
          <w:sz w:val="22"/>
          <w:szCs w:val="22"/>
        </w:rPr>
        <w:t>հա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նպատակային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նշանակությունը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բնակավայրերի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այլ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հողերի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համաձայն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05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03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2025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ավագանու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Լոռու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մարզի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տարածական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պլանավորման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նախագիծը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հաստատելու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մասին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7-</w:t>
      </w:r>
      <w:r w:rsidRPr="00205306">
        <w:rPr>
          <w:color w:val="333333"/>
          <w:sz w:val="22"/>
          <w:szCs w:val="22"/>
        </w:rPr>
        <w:t>Լ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որոշման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 </w:t>
      </w:r>
      <w:r w:rsidRPr="00205306">
        <w:rPr>
          <w:color w:val="333333"/>
          <w:sz w:val="22"/>
          <w:szCs w:val="22"/>
        </w:rPr>
        <w:t>/</w:t>
      </w:r>
      <w:proofErr w:type="spellStart"/>
      <w:r w:rsidRPr="00205306">
        <w:rPr>
          <w:color w:val="333333"/>
          <w:sz w:val="22"/>
          <w:szCs w:val="22"/>
        </w:rPr>
        <w:t>գլխավոր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հատակագծերի</w:t>
      </w:r>
      <w:proofErr w:type="spellEnd"/>
      <w:r w:rsidRPr="00205306">
        <w:rPr>
          <w:color w:val="333333"/>
          <w:sz w:val="22"/>
          <w:szCs w:val="22"/>
        </w:rPr>
        <w:t>/</w:t>
      </w:r>
      <w:r w:rsidRPr="00205306">
        <w:rPr>
          <w:rFonts w:ascii="Calibri" w:hAnsi="Calibri" w:cs="Calibri"/>
          <w:color w:val="333333"/>
          <w:sz w:val="22"/>
          <w:szCs w:val="22"/>
        </w:rPr>
        <w:t>   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վարչապետի</w:t>
      </w:r>
      <w:proofErr w:type="spellEnd"/>
      <w:r w:rsidRPr="00205306">
        <w:rPr>
          <w:color w:val="333333"/>
          <w:sz w:val="22"/>
          <w:szCs w:val="22"/>
        </w:rPr>
        <w:t xml:space="preserve"> 2009 </w:t>
      </w:r>
      <w:proofErr w:type="spellStart"/>
      <w:r w:rsidRPr="00205306">
        <w:rPr>
          <w:color w:val="333333"/>
          <w:sz w:val="22"/>
          <w:szCs w:val="22"/>
        </w:rPr>
        <w:t>թվականի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դեկտեմբերի</w:t>
      </w:r>
      <w:proofErr w:type="spellEnd"/>
      <w:r w:rsidRPr="00205306">
        <w:rPr>
          <w:color w:val="333333"/>
          <w:sz w:val="22"/>
          <w:szCs w:val="22"/>
        </w:rPr>
        <w:t xml:space="preserve"> 22-</w:t>
      </w:r>
      <w:r w:rsidRPr="00205306">
        <w:rPr>
          <w:color w:val="333333"/>
          <w:sz w:val="22"/>
          <w:szCs w:val="22"/>
        </w:rPr>
        <w:t>ի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color w:val="333333"/>
          <w:sz w:val="22"/>
          <w:szCs w:val="22"/>
        </w:rPr>
        <w:t xml:space="preserve"> 1064-</w:t>
      </w:r>
      <w:r w:rsidRPr="00205306">
        <w:rPr>
          <w:color w:val="333333"/>
          <w:sz w:val="22"/>
          <w:szCs w:val="22"/>
        </w:rPr>
        <w:t>Ա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որոշմամբ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ստեղծված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համայնքների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քաղաքաշինական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ծրագրային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փաստաթղթերի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մշակման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աշխատանքները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համակարգող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միջգերատեսչական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հանձն</w:t>
      </w:r>
      <w:r w:rsidRPr="00205306">
        <w:rPr>
          <w:color w:val="333333"/>
          <w:sz w:val="22"/>
          <w:szCs w:val="22"/>
        </w:rPr>
        <w:t>աժողովի</w:t>
      </w:r>
      <w:proofErr w:type="spellEnd"/>
      <w:r w:rsidRPr="00205306">
        <w:rPr>
          <w:color w:val="333333"/>
          <w:sz w:val="22"/>
          <w:szCs w:val="22"/>
        </w:rPr>
        <w:t xml:space="preserve"> 12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08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 xml:space="preserve">2024 </w:t>
      </w:r>
      <w:proofErr w:type="spellStart"/>
      <w:r w:rsidRPr="00205306">
        <w:rPr>
          <w:color w:val="333333"/>
          <w:sz w:val="22"/>
          <w:szCs w:val="22"/>
        </w:rPr>
        <w:t>թվականին</w:t>
      </w:r>
      <w:proofErr w:type="spellEnd"/>
      <w:r w:rsidR="00205306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տրված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թիվ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 xml:space="preserve">2-14 </w:t>
      </w:r>
      <w:proofErr w:type="spellStart"/>
      <w:r w:rsidRPr="00205306">
        <w:rPr>
          <w:color w:val="333333"/>
          <w:sz w:val="22"/>
          <w:szCs w:val="22"/>
        </w:rPr>
        <w:t>դրական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եզրակացությունը</w:t>
      </w:r>
      <w:proofErr w:type="spellEnd"/>
      <w:r w:rsidRPr="00205306">
        <w:rPr>
          <w:rFonts w:ascii="Calibri" w:hAnsi="Calibri" w:cs="Calibri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>։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color w:val="333333"/>
          <w:sz w:val="22"/>
          <w:szCs w:val="22"/>
        </w:rPr>
        <w:t>4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Փոխել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համայնք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Վանաձոր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քաղաք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Մայմեխի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խճուղի</w:t>
      </w:r>
      <w:proofErr w:type="spellEnd"/>
      <w:r w:rsidRPr="00205306">
        <w:rPr>
          <w:color w:val="333333"/>
          <w:sz w:val="22"/>
          <w:szCs w:val="22"/>
        </w:rPr>
        <w:t xml:space="preserve"> 6 </w:t>
      </w:r>
      <w:proofErr w:type="spellStart"/>
      <w:r w:rsidRPr="00205306">
        <w:rPr>
          <w:color w:val="333333"/>
          <w:sz w:val="22"/>
          <w:szCs w:val="22"/>
        </w:rPr>
        <w:t>հասցեում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205306">
        <w:rPr>
          <w:color w:val="333333"/>
          <w:sz w:val="22"/>
          <w:szCs w:val="22"/>
        </w:rPr>
        <w:t>գտնվող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="00205306">
        <w:rPr>
          <w:rFonts w:ascii="Calibri" w:hAnsi="Calibri" w:cs="Calibri"/>
          <w:color w:val="333333"/>
          <w:sz w:val="22"/>
          <w:szCs w:val="22"/>
        </w:rPr>
        <w:br/>
      </w:r>
      <w:r w:rsidRPr="00205306">
        <w:rPr>
          <w:color w:val="333333"/>
          <w:sz w:val="22"/>
          <w:szCs w:val="22"/>
        </w:rPr>
        <w:t>06</w:t>
      </w:r>
      <w:proofErr w:type="gramEnd"/>
      <w:r w:rsidRPr="00205306">
        <w:rPr>
          <w:color w:val="333333"/>
          <w:sz w:val="22"/>
          <w:szCs w:val="22"/>
        </w:rPr>
        <w:t xml:space="preserve">-001-3322-0001 </w:t>
      </w:r>
      <w:proofErr w:type="spellStart"/>
      <w:r w:rsidRPr="00205306">
        <w:rPr>
          <w:color w:val="333333"/>
          <w:sz w:val="22"/>
          <w:szCs w:val="22"/>
        </w:rPr>
        <w:t>կադաստրային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ծածկագրով</w:t>
      </w:r>
      <w:proofErr w:type="spellEnd"/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05306">
        <w:rPr>
          <w:color w:val="333333"/>
          <w:sz w:val="22"/>
          <w:szCs w:val="22"/>
        </w:rPr>
        <w:t>հողամասի</w:t>
      </w:r>
      <w:proofErr w:type="spellEnd"/>
      <w:r w:rsidRPr="00205306">
        <w:rPr>
          <w:color w:val="333333"/>
          <w:sz w:val="22"/>
          <w:szCs w:val="22"/>
        </w:rPr>
        <w:t xml:space="preserve">, </w:t>
      </w:r>
      <w:r w:rsidRPr="00205306">
        <w:rPr>
          <w:color w:val="333333"/>
          <w:sz w:val="22"/>
          <w:szCs w:val="22"/>
        </w:rPr>
        <w:t>ՀՀ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հողային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օրենսգրքի</w:t>
      </w:r>
      <w:proofErr w:type="spellEnd"/>
      <w:r w:rsidRPr="00205306">
        <w:rPr>
          <w:color w:val="333333"/>
          <w:sz w:val="22"/>
          <w:szCs w:val="22"/>
        </w:rPr>
        <w:t xml:space="preserve"> 60-</w:t>
      </w:r>
      <w:r w:rsidRPr="00205306">
        <w:rPr>
          <w:color w:val="333333"/>
          <w:sz w:val="22"/>
          <w:szCs w:val="22"/>
        </w:rPr>
        <w:t>րդ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հոդվածով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սահմանված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հողամասերի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թվին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չդասվող</w:t>
      </w:r>
      <w:proofErr w:type="spellEnd"/>
      <w:r w:rsidRPr="00205306">
        <w:rPr>
          <w:color w:val="333333"/>
          <w:sz w:val="22"/>
          <w:szCs w:val="22"/>
        </w:rPr>
        <w:t>,</w:t>
      </w:r>
      <w:r w:rsidRPr="00205306">
        <w:rPr>
          <w:rFonts w:ascii="Calibri" w:hAnsi="Calibri" w:cs="Calibri"/>
          <w:color w:val="333333"/>
          <w:sz w:val="22"/>
          <w:szCs w:val="22"/>
        </w:rPr>
        <w:t> </w:t>
      </w:r>
      <w:r w:rsidRPr="00205306">
        <w:rPr>
          <w:color w:val="333333"/>
          <w:sz w:val="22"/>
          <w:szCs w:val="22"/>
        </w:rPr>
        <w:t>0</w:t>
      </w:r>
      <w:r w:rsidRPr="0020530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05306">
        <w:rPr>
          <w:color w:val="333333"/>
          <w:sz w:val="22"/>
          <w:szCs w:val="22"/>
        </w:rPr>
        <w:t>15618</w:t>
      </w:r>
      <w:r w:rsidRPr="00205306">
        <w:rPr>
          <w:color w:val="333333"/>
          <w:sz w:val="22"/>
          <w:szCs w:val="22"/>
        </w:rPr>
        <w:t>հա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մակերեսով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հողամասի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գործառնական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նշանակությունը</w:t>
      </w:r>
      <w:proofErr w:type="spellEnd"/>
      <w:r w:rsidRPr="00205306">
        <w:rPr>
          <w:color w:val="333333"/>
          <w:sz w:val="22"/>
          <w:szCs w:val="22"/>
        </w:rPr>
        <w:t>՝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բնակավայրերի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այլ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հողերից</w:t>
      </w:r>
      <w:proofErr w:type="spellEnd"/>
      <w:r w:rsidRPr="00205306">
        <w:rPr>
          <w:color w:val="333333"/>
          <w:sz w:val="22"/>
          <w:szCs w:val="22"/>
        </w:rPr>
        <w:t>՝</w:t>
      </w:r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հասարակական</w:t>
      </w:r>
      <w:proofErr w:type="spellEnd"/>
      <w:r w:rsidRPr="00205306">
        <w:rPr>
          <w:color w:val="333333"/>
          <w:sz w:val="22"/>
          <w:szCs w:val="22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կառուցապատման</w:t>
      </w:r>
      <w:proofErr w:type="spellEnd"/>
      <w:r w:rsidR="00205306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05306">
        <w:rPr>
          <w:color w:val="333333"/>
          <w:sz w:val="22"/>
          <w:szCs w:val="22"/>
        </w:rPr>
        <w:t>հողերի</w:t>
      </w:r>
      <w:proofErr w:type="spellEnd"/>
      <w:r w:rsidRPr="00205306">
        <w:rPr>
          <w:color w:val="333333"/>
          <w:sz w:val="22"/>
          <w:szCs w:val="22"/>
        </w:rPr>
        <w:t>:</w:t>
      </w:r>
    </w:p>
    <w:p w:rsidR="00000000" w:rsidRPr="00205306" w:rsidRDefault="00205306">
      <w:pPr>
        <w:pStyle w:val="a3"/>
        <w:jc w:val="both"/>
        <w:divId w:val="38745812"/>
        <w:rPr>
          <w:sz w:val="22"/>
          <w:szCs w:val="22"/>
        </w:rPr>
      </w:pPr>
      <w:r>
        <w:rPr>
          <w:sz w:val="22"/>
          <w:szCs w:val="22"/>
        </w:rPr>
        <w:t>5.</w:t>
      </w:r>
      <w:r w:rsidR="00CC1983" w:rsidRPr="00205306">
        <w:rPr>
          <w:sz w:val="22"/>
          <w:szCs w:val="22"/>
        </w:rPr>
        <w:t>Սույն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որոշման</w:t>
      </w:r>
      <w:proofErr w:type="spellEnd"/>
      <w:r w:rsidR="00CC1983" w:rsidRPr="00205306">
        <w:rPr>
          <w:sz w:val="22"/>
          <w:szCs w:val="22"/>
        </w:rPr>
        <w:t xml:space="preserve"> 1-</w:t>
      </w:r>
      <w:r w:rsidR="00CC1983" w:rsidRPr="00205306">
        <w:rPr>
          <w:sz w:val="22"/>
          <w:szCs w:val="22"/>
        </w:rPr>
        <w:t>ին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կետում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նշված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հողամասը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սեփականության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իրավունքով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անհատույց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տրամադրել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Ռոբերտ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Ռաֆիկի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Մարտիրոսյանին</w:t>
      </w:r>
      <w:proofErr w:type="spellEnd"/>
      <w:r w:rsidR="00CC1983" w:rsidRPr="00205306">
        <w:rPr>
          <w:sz w:val="22"/>
          <w:szCs w:val="22"/>
        </w:rPr>
        <w:t>:</w:t>
      </w:r>
    </w:p>
    <w:p w:rsidR="00000000" w:rsidRPr="00205306" w:rsidRDefault="00205306">
      <w:pPr>
        <w:pStyle w:val="a3"/>
        <w:jc w:val="both"/>
        <w:divId w:val="38745812"/>
        <w:rPr>
          <w:sz w:val="22"/>
          <w:szCs w:val="22"/>
        </w:rPr>
      </w:pPr>
      <w:r>
        <w:rPr>
          <w:sz w:val="22"/>
          <w:szCs w:val="22"/>
        </w:rPr>
        <w:t>6.</w:t>
      </w:r>
      <w:r w:rsidR="00CC1983" w:rsidRPr="00205306">
        <w:rPr>
          <w:sz w:val="22"/>
          <w:szCs w:val="22"/>
        </w:rPr>
        <w:t>Սույն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որոշման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մեջ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նշված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հողամասը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սեփականության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իրավունքով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անհատույց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ձեռք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բերելուց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հետո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դրա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մասի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առուվաճառքի</w:t>
      </w:r>
      <w:proofErr w:type="spellEnd"/>
      <w:r w:rsidR="00CC1983" w:rsidRPr="00205306">
        <w:rPr>
          <w:sz w:val="22"/>
          <w:szCs w:val="22"/>
        </w:rPr>
        <w:t xml:space="preserve">, </w:t>
      </w:r>
      <w:proofErr w:type="spellStart"/>
      <w:r w:rsidR="00CC1983" w:rsidRPr="00205306">
        <w:rPr>
          <w:sz w:val="22"/>
          <w:szCs w:val="22"/>
        </w:rPr>
        <w:t>նվիրատվության</w:t>
      </w:r>
      <w:proofErr w:type="spellEnd"/>
      <w:r w:rsidR="00CC1983" w:rsidRPr="00205306">
        <w:rPr>
          <w:sz w:val="22"/>
          <w:szCs w:val="22"/>
        </w:rPr>
        <w:t xml:space="preserve">, </w:t>
      </w:r>
      <w:proofErr w:type="spellStart"/>
      <w:r w:rsidR="00CC1983" w:rsidRPr="00205306">
        <w:rPr>
          <w:sz w:val="22"/>
          <w:szCs w:val="22"/>
        </w:rPr>
        <w:t>փոխանակման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իրավաբանական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անձանց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լուծարումից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հետո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նրա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հիմնադիրներին</w:t>
      </w:r>
      <w:proofErr w:type="spellEnd"/>
      <w:r w:rsidR="00CC1983" w:rsidRPr="00205306">
        <w:rPr>
          <w:sz w:val="22"/>
          <w:szCs w:val="22"/>
        </w:rPr>
        <w:t xml:space="preserve"> (</w:t>
      </w:r>
      <w:proofErr w:type="spellStart"/>
      <w:r w:rsidR="00CC1983" w:rsidRPr="00205306">
        <w:rPr>
          <w:sz w:val="22"/>
          <w:szCs w:val="22"/>
        </w:rPr>
        <w:t>մասնակիցներին</w:t>
      </w:r>
      <w:proofErr w:type="spellEnd"/>
      <w:r w:rsidR="00CC1983" w:rsidRPr="00205306">
        <w:rPr>
          <w:sz w:val="22"/>
          <w:szCs w:val="22"/>
        </w:rPr>
        <w:t xml:space="preserve">) </w:t>
      </w:r>
      <w:proofErr w:type="spellStart"/>
      <w:r w:rsidR="00CC1983" w:rsidRPr="00205306">
        <w:rPr>
          <w:sz w:val="22"/>
          <w:szCs w:val="22"/>
        </w:rPr>
        <w:t>հանձնման</w:t>
      </w:r>
      <w:proofErr w:type="spellEnd"/>
      <w:r w:rsidR="00CC1983" w:rsidRPr="00205306">
        <w:rPr>
          <w:sz w:val="22"/>
          <w:szCs w:val="22"/>
        </w:rPr>
        <w:t xml:space="preserve">, </w:t>
      </w:r>
      <w:proofErr w:type="spellStart"/>
      <w:r w:rsidR="00CC1983" w:rsidRPr="00205306">
        <w:rPr>
          <w:sz w:val="22"/>
          <w:szCs w:val="22"/>
        </w:rPr>
        <w:t>այդ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թվում</w:t>
      </w:r>
      <w:proofErr w:type="spellEnd"/>
      <w:r w:rsidR="00CC1983" w:rsidRPr="00205306">
        <w:rPr>
          <w:sz w:val="22"/>
          <w:szCs w:val="22"/>
        </w:rPr>
        <w:t xml:space="preserve">` </w:t>
      </w:r>
      <w:proofErr w:type="spellStart"/>
      <w:r w:rsidR="00CC1983" w:rsidRPr="00205306">
        <w:rPr>
          <w:sz w:val="22"/>
          <w:szCs w:val="22"/>
        </w:rPr>
        <w:t>պարտատերերի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պահանջների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բավարարման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բռնագանձման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հետևանքով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իրացման</w:t>
      </w:r>
      <w:proofErr w:type="spellEnd"/>
      <w:r w:rsidR="00CC1983" w:rsidRPr="00205306">
        <w:rPr>
          <w:sz w:val="22"/>
          <w:szCs w:val="22"/>
        </w:rPr>
        <w:t xml:space="preserve"> (</w:t>
      </w:r>
      <w:proofErr w:type="spellStart"/>
      <w:r w:rsidR="00CC1983" w:rsidRPr="00205306">
        <w:rPr>
          <w:sz w:val="22"/>
          <w:szCs w:val="22"/>
        </w:rPr>
        <w:t>այդ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թվում</w:t>
      </w:r>
      <w:proofErr w:type="spellEnd"/>
      <w:r w:rsidR="00CC1983" w:rsidRPr="00205306">
        <w:rPr>
          <w:sz w:val="22"/>
          <w:szCs w:val="22"/>
        </w:rPr>
        <w:t>՝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գրավառուի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կողմից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բռնագանձման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հետևանքով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հողամասը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գրավատուից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ձեռքբերման</w:t>
      </w:r>
      <w:proofErr w:type="spellEnd"/>
      <w:r w:rsidR="00CC1983" w:rsidRPr="00205306">
        <w:rPr>
          <w:sz w:val="22"/>
          <w:szCs w:val="22"/>
        </w:rPr>
        <w:t xml:space="preserve">) </w:t>
      </w:r>
      <w:proofErr w:type="spellStart"/>
      <w:r w:rsidR="00CC1983" w:rsidRPr="00205306">
        <w:rPr>
          <w:sz w:val="22"/>
          <w:szCs w:val="22"/>
        </w:rPr>
        <w:t>դեպքում</w:t>
      </w:r>
      <w:proofErr w:type="spellEnd"/>
      <w:r w:rsidR="00CC1983" w:rsidRPr="00205306">
        <w:rPr>
          <w:sz w:val="22"/>
          <w:szCs w:val="22"/>
        </w:rPr>
        <w:t>՝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անկախ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այն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հանգամանքից</w:t>
      </w:r>
      <w:proofErr w:type="spellEnd"/>
      <w:r w:rsidR="00CC1983" w:rsidRPr="00205306">
        <w:rPr>
          <w:sz w:val="22"/>
          <w:szCs w:val="22"/>
        </w:rPr>
        <w:t xml:space="preserve">, </w:t>
      </w:r>
      <w:proofErr w:type="spellStart"/>
      <w:r w:rsidR="00CC1983" w:rsidRPr="00205306">
        <w:rPr>
          <w:sz w:val="22"/>
          <w:szCs w:val="22"/>
        </w:rPr>
        <w:t>թե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հողամասը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ձեռք</w:t>
      </w:r>
      <w:proofErr w:type="spellEnd"/>
      <w:r w:rsidR="00CC1983" w:rsidRPr="00205306">
        <w:rPr>
          <w:sz w:val="22"/>
          <w:szCs w:val="22"/>
        </w:rPr>
        <w:t xml:space="preserve"> </w:t>
      </w:r>
      <w:r w:rsidR="00CC1983" w:rsidRPr="00205306">
        <w:rPr>
          <w:sz w:val="22"/>
          <w:szCs w:val="22"/>
        </w:rPr>
        <w:t>է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բերվել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հատուցմամբ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անհատույց</w:t>
      </w:r>
      <w:proofErr w:type="spellEnd"/>
      <w:r w:rsidR="00CC1983" w:rsidRPr="00205306">
        <w:rPr>
          <w:sz w:val="22"/>
          <w:szCs w:val="22"/>
        </w:rPr>
        <w:t xml:space="preserve">, </w:t>
      </w:r>
      <w:proofErr w:type="spellStart"/>
      <w:r w:rsidR="00CC1983" w:rsidRPr="00205306">
        <w:rPr>
          <w:sz w:val="22"/>
          <w:szCs w:val="22"/>
        </w:rPr>
        <w:t>ձեռք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բերողը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պետական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կամ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համայնքային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բյուջե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պետք</w:t>
      </w:r>
      <w:proofErr w:type="spellEnd"/>
      <w:r w:rsidR="00CC1983" w:rsidRPr="00205306">
        <w:rPr>
          <w:sz w:val="22"/>
          <w:szCs w:val="22"/>
        </w:rPr>
        <w:t xml:space="preserve"> </w:t>
      </w:r>
      <w:r w:rsidR="00CC1983" w:rsidRPr="00205306">
        <w:rPr>
          <w:sz w:val="22"/>
          <w:szCs w:val="22"/>
        </w:rPr>
        <w:t>է</w:t>
      </w:r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վճարի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հողամասի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տվյալ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պահին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գործող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կադաստրային</w:t>
      </w:r>
      <w:proofErr w:type="spellEnd"/>
      <w:r w:rsidR="00CC1983" w:rsidRPr="00205306">
        <w:rPr>
          <w:sz w:val="22"/>
          <w:szCs w:val="22"/>
        </w:rPr>
        <w:t xml:space="preserve"> </w:t>
      </w:r>
      <w:proofErr w:type="spellStart"/>
      <w:r w:rsidR="00CC1983" w:rsidRPr="00205306">
        <w:rPr>
          <w:sz w:val="22"/>
          <w:szCs w:val="22"/>
        </w:rPr>
        <w:t>արժեքը</w:t>
      </w:r>
      <w:proofErr w:type="spellEnd"/>
      <w:r w:rsidR="00CC1983" w:rsidRPr="00205306">
        <w:rPr>
          <w:sz w:val="22"/>
          <w:szCs w:val="22"/>
        </w:rPr>
        <w:t>: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t>7.</w:t>
      </w:r>
      <w:r w:rsidRPr="00205306">
        <w:rPr>
          <w:rFonts w:ascii="Calibri" w:hAnsi="Calibri" w:cs="Calibri"/>
          <w:sz w:val="22"/>
          <w:szCs w:val="22"/>
        </w:rPr>
        <w:t> </w:t>
      </w:r>
      <w:proofErr w:type="spellStart"/>
      <w:r w:rsidRPr="00205306">
        <w:rPr>
          <w:sz w:val="22"/>
          <w:szCs w:val="22"/>
        </w:rPr>
        <w:t>Սույն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որոշման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մեջ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նշված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գույքերին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տրամադրել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նոր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փոստային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հասցեներ</w:t>
      </w:r>
      <w:proofErr w:type="spellEnd"/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t>ա</w:t>
      </w:r>
      <w:r w:rsidR="00205306">
        <w:rPr>
          <w:sz w:val="22"/>
          <w:szCs w:val="22"/>
        </w:rPr>
        <w:t>)</w:t>
      </w:r>
      <w:r w:rsidRPr="00205306">
        <w:rPr>
          <w:sz w:val="22"/>
          <w:szCs w:val="22"/>
        </w:rPr>
        <w:t>0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15618</w:t>
      </w:r>
      <w:r w:rsidRPr="00205306">
        <w:rPr>
          <w:sz w:val="22"/>
          <w:szCs w:val="22"/>
        </w:rPr>
        <w:t>հա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102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3</w:t>
      </w:r>
      <w:r w:rsidRPr="00205306">
        <w:rPr>
          <w:sz w:val="22"/>
          <w:szCs w:val="22"/>
        </w:rPr>
        <w:t>քմ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շինությունների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փոստային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հասցեն</w:t>
      </w:r>
      <w:proofErr w:type="spellEnd"/>
      <w:r w:rsidRPr="00205306">
        <w:rPr>
          <w:sz w:val="22"/>
          <w:szCs w:val="22"/>
        </w:rPr>
        <w:t xml:space="preserve">`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համայնք</w:t>
      </w:r>
      <w:proofErr w:type="spellEnd"/>
      <w:r w:rsidRPr="00205306">
        <w:rPr>
          <w:sz w:val="22"/>
          <w:szCs w:val="22"/>
        </w:rPr>
        <w:t xml:space="preserve">, </w:t>
      </w:r>
      <w:r w:rsidRPr="00205306">
        <w:rPr>
          <w:sz w:val="22"/>
          <w:szCs w:val="22"/>
        </w:rPr>
        <w:t>ք</w:t>
      </w:r>
      <w:r w:rsidRPr="00205306">
        <w:rPr>
          <w:sz w:val="22"/>
          <w:szCs w:val="22"/>
        </w:rPr>
        <w:t xml:space="preserve">.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, </w:t>
      </w:r>
      <w:proofErr w:type="spellStart"/>
      <w:r w:rsidRPr="00205306">
        <w:rPr>
          <w:sz w:val="22"/>
          <w:szCs w:val="22"/>
        </w:rPr>
        <w:t>Լոռվա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խճուղի</w:t>
      </w:r>
      <w:proofErr w:type="spellEnd"/>
      <w:r w:rsidRPr="00205306">
        <w:rPr>
          <w:sz w:val="22"/>
          <w:szCs w:val="22"/>
        </w:rPr>
        <w:t xml:space="preserve">,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6 </w:t>
      </w:r>
      <w:proofErr w:type="spellStart"/>
      <w:r w:rsidRPr="00205306">
        <w:rPr>
          <w:sz w:val="22"/>
          <w:szCs w:val="22"/>
        </w:rPr>
        <w:t>ռեստորան</w:t>
      </w:r>
      <w:proofErr w:type="spellEnd"/>
      <w:r w:rsidRPr="00205306">
        <w:rPr>
          <w:sz w:val="22"/>
          <w:szCs w:val="22"/>
        </w:rPr>
        <w:t xml:space="preserve"> /</w:t>
      </w:r>
      <w:proofErr w:type="spellStart"/>
      <w:r w:rsidRPr="00205306">
        <w:rPr>
          <w:sz w:val="22"/>
          <w:szCs w:val="22"/>
        </w:rPr>
        <w:t>ըստ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վկայականի</w:t>
      </w:r>
      <w:proofErr w:type="spellEnd"/>
      <w:r w:rsidR="00205306">
        <w:rPr>
          <w:sz w:val="22"/>
          <w:szCs w:val="22"/>
          <w:lang w:val="hy-AM"/>
        </w:rPr>
        <w:t xml:space="preserve"> </w:t>
      </w:r>
      <w:proofErr w:type="spellStart"/>
      <w:r w:rsidRPr="00205306">
        <w:rPr>
          <w:sz w:val="22"/>
          <w:szCs w:val="22"/>
        </w:rPr>
        <w:t>հասցեն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չի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փոխվում</w:t>
      </w:r>
      <w:proofErr w:type="spellEnd"/>
      <w:r w:rsidR="00205306">
        <w:rPr>
          <w:sz w:val="22"/>
          <w:szCs w:val="22"/>
        </w:rPr>
        <w:t>/</w:t>
      </w:r>
      <w:r w:rsidRPr="00205306">
        <w:rPr>
          <w:sz w:val="22"/>
          <w:szCs w:val="22"/>
        </w:rPr>
        <w:t>:</w:t>
      </w:r>
      <w:r w:rsidRPr="00205306">
        <w:rPr>
          <w:rFonts w:ascii="Calibri" w:hAnsi="Calibri" w:cs="Calibri"/>
          <w:sz w:val="22"/>
          <w:szCs w:val="22"/>
        </w:rPr>
        <w:t> </w:t>
      </w:r>
    </w:p>
    <w:p w:rsidR="00000000" w:rsidRPr="00205306" w:rsidRDefault="00CC1983">
      <w:pPr>
        <w:pStyle w:val="a3"/>
        <w:jc w:val="both"/>
        <w:divId w:val="38745812"/>
        <w:rPr>
          <w:sz w:val="22"/>
          <w:szCs w:val="22"/>
        </w:rPr>
      </w:pPr>
      <w:r w:rsidRPr="00205306">
        <w:rPr>
          <w:sz w:val="22"/>
          <w:szCs w:val="22"/>
        </w:rPr>
        <w:t>բ</w:t>
      </w:r>
      <w:r w:rsidR="00205306">
        <w:rPr>
          <w:sz w:val="22"/>
          <w:szCs w:val="22"/>
        </w:rPr>
        <w:t>)</w:t>
      </w:r>
      <w:r w:rsidRPr="00205306">
        <w:rPr>
          <w:sz w:val="22"/>
          <w:szCs w:val="22"/>
        </w:rPr>
        <w:t>0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28827</w:t>
      </w:r>
      <w:r w:rsidRPr="00205306">
        <w:rPr>
          <w:sz w:val="22"/>
          <w:szCs w:val="22"/>
        </w:rPr>
        <w:t>հա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հողամասի</w:t>
      </w:r>
      <w:proofErr w:type="spellEnd"/>
      <w:r w:rsidRPr="00205306">
        <w:rPr>
          <w:sz w:val="22"/>
          <w:szCs w:val="22"/>
        </w:rPr>
        <w:t xml:space="preserve"> </w:t>
      </w:r>
      <w:r w:rsidRPr="00205306">
        <w:rPr>
          <w:sz w:val="22"/>
          <w:szCs w:val="22"/>
        </w:rPr>
        <w:t>և</w:t>
      </w:r>
      <w:r w:rsidRPr="00205306">
        <w:rPr>
          <w:sz w:val="22"/>
          <w:szCs w:val="22"/>
        </w:rPr>
        <w:t xml:space="preserve"> 285</w:t>
      </w:r>
      <w:r w:rsidRPr="00205306">
        <w:rPr>
          <w:rFonts w:ascii="Cambria Math" w:hAnsi="Cambria Math" w:cs="Cambria Math"/>
          <w:sz w:val="22"/>
          <w:szCs w:val="22"/>
        </w:rPr>
        <w:t>․</w:t>
      </w:r>
      <w:r w:rsidRPr="00205306">
        <w:rPr>
          <w:sz w:val="22"/>
          <w:szCs w:val="22"/>
        </w:rPr>
        <w:t>4</w:t>
      </w:r>
      <w:r w:rsidRPr="00205306">
        <w:rPr>
          <w:sz w:val="22"/>
          <w:szCs w:val="22"/>
        </w:rPr>
        <w:t>քմ</w:t>
      </w:r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մակերեսով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շինությունների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փոստային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հասցեն</w:t>
      </w:r>
      <w:proofErr w:type="spellEnd"/>
      <w:r w:rsidRPr="00205306">
        <w:rPr>
          <w:sz w:val="22"/>
          <w:szCs w:val="22"/>
        </w:rPr>
        <w:t xml:space="preserve">`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համայնք</w:t>
      </w:r>
      <w:proofErr w:type="spellEnd"/>
      <w:r w:rsidRPr="00205306">
        <w:rPr>
          <w:sz w:val="22"/>
          <w:szCs w:val="22"/>
        </w:rPr>
        <w:t xml:space="preserve">, </w:t>
      </w:r>
      <w:r w:rsidRPr="00205306">
        <w:rPr>
          <w:sz w:val="22"/>
          <w:szCs w:val="22"/>
        </w:rPr>
        <w:t>ք</w:t>
      </w:r>
      <w:r w:rsidRPr="00205306">
        <w:rPr>
          <w:sz w:val="22"/>
          <w:szCs w:val="22"/>
        </w:rPr>
        <w:t xml:space="preserve">. </w:t>
      </w:r>
      <w:proofErr w:type="spellStart"/>
      <w:r w:rsidRPr="00205306">
        <w:rPr>
          <w:sz w:val="22"/>
          <w:szCs w:val="22"/>
        </w:rPr>
        <w:t>Վանաձոր</w:t>
      </w:r>
      <w:proofErr w:type="spellEnd"/>
      <w:r w:rsidRPr="00205306">
        <w:rPr>
          <w:sz w:val="22"/>
          <w:szCs w:val="22"/>
        </w:rPr>
        <w:t xml:space="preserve">, </w:t>
      </w:r>
      <w:proofErr w:type="spellStart"/>
      <w:r w:rsidRPr="00205306">
        <w:rPr>
          <w:sz w:val="22"/>
          <w:szCs w:val="22"/>
        </w:rPr>
        <w:t>Լոռվա</w:t>
      </w:r>
      <w:proofErr w:type="spellEnd"/>
      <w:r w:rsidRPr="00205306">
        <w:rPr>
          <w:sz w:val="22"/>
          <w:szCs w:val="22"/>
        </w:rPr>
        <w:t xml:space="preserve"> </w:t>
      </w:r>
      <w:proofErr w:type="spellStart"/>
      <w:r w:rsidRPr="00205306">
        <w:rPr>
          <w:sz w:val="22"/>
          <w:szCs w:val="22"/>
        </w:rPr>
        <w:t>խճուղի</w:t>
      </w:r>
      <w:proofErr w:type="spellEnd"/>
      <w:r w:rsidRPr="00205306">
        <w:rPr>
          <w:sz w:val="22"/>
          <w:szCs w:val="22"/>
        </w:rPr>
        <w:t xml:space="preserve">, </w:t>
      </w:r>
      <w:proofErr w:type="spellStart"/>
      <w:r w:rsidRPr="00205306">
        <w:rPr>
          <w:sz w:val="22"/>
          <w:szCs w:val="22"/>
        </w:rPr>
        <w:t>թիվ</w:t>
      </w:r>
      <w:proofErr w:type="spellEnd"/>
      <w:r w:rsidRPr="00205306">
        <w:rPr>
          <w:sz w:val="22"/>
          <w:szCs w:val="22"/>
        </w:rPr>
        <w:t xml:space="preserve"> 6/1 </w:t>
      </w:r>
      <w:proofErr w:type="spellStart"/>
      <w:r w:rsidRPr="00205306">
        <w:rPr>
          <w:sz w:val="22"/>
          <w:szCs w:val="22"/>
        </w:rPr>
        <w:t>ռեստորան</w:t>
      </w:r>
      <w:proofErr w:type="spellEnd"/>
      <w:r w:rsidRPr="00205306">
        <w:rPr>
          <w:sz w:val="22"/>
          <w:szCs w:val="22"/>
        </w:rPr>
        <w:t>:</w:t>
      </w:r>
      <w:r w:rsidRPr="00205306">
        <w:rPr>
          <w:rFonts w:ascii="Calibri" w:hAnsi="Calibri" w:cs="Calibri"/>
          <w:sz w:val="22"/>
          <w:szCs w:val="22"/>
        </w:rPr>
        <w:t> </w:t>
      </w:r>
    </w:p>
    <w:p w:rsidR="00205306" w:rsidRPr="00FF45D1" w:rsidRDefault="00205306" w:rsidP="00205306">
      <w:pPr>
        <w:pStyle w:val="a3"/>
        <w:spacing w:before="0" w:beforeAutospacing="0" w:after="0" w:afterAutospacing="0"/>
        <w:ind w:left="708"/>
        <w:divId w:val="38745812"/>
        <w:rPr>
          <w:sz w:val="22"/>
          <w:lang w:val="hy-AM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bookmarkStart w:id="0" w:name="_GoBack"/>
      <w:bookmarkEnd w:id="0"/>
      <w:r w:rsidR="00CC1983">
        <w:rPr>
          <w:rFonts w:ascii="Calibri" w:hAnsi="Calibri" w:cs="Calibri"/>
        </w:rPr>
        <w:t> </w:t>
      </w:r>
      <w:r w:rsidRPr="00FF45D1">
        <w:rPr>
          <w:sz w:val="22"/>
          <w:lang w:val="hy-AM"/>
        </w:rPr>
        <w:t>ՀԱՄԱՅՆՔԻ ՂԵԿԱՎԱՐԻ</w:t>
      </w:r>
    </w:p>
    <w:p w:rsidR="00205306" w:rsidRPr="00FF45D1" w:rsidRDefault="00205306" w:rsidP="00205306">
      <w:pPr>
        <w:pStyle w:val="a3"/>
        <w:spacing w:before="0" w:beforeAutospacing="0" w:after="0" w:afterAutospacing="0"/>
        <w:ind w:firstLine="708"/>
        <w:divId w:val="387458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05306" w:rsidRPr="00FF45D1" w:rsidRDefault="00205306" w:rsidP="00205306">
      <w:pPr>
        <w:pStyle w:val="a3"/>
        <w:spacing w:before="0" w:beforeAutospacing="0" w:after="0" w:afterAutospacing="0"/>
        <w:ind w:firstLine="708"/>
        <w:divId w:val="38745812"/>
        <w:rPr>
          <w:sz w:val="22"/>
          <w:lang w:val="hy-AM"/>
        </w:rPr>
      </w:pPr>
    </w:p>
    <w:p w:rsidR="00205306" w:rsidRPr="00FF45D1" w:rsidRDefault="00205306" w:rsidP="00205306">
      <w:pPr>
        <w:pStyle w:val="a3"/>
        <w:spacing w:before="0" w:beforeAutospacing="0" w:after="0" w:afterAutospacing="0"/>
        <w:ind w:left="708"/>
        <w:divId w:val="387458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05306" w:rsidRPr="00FF45D1" w:rsidRDefault="00205306" w:rsidP="00205306">
      <w:pPr>
        <w:pStyle w:val="a3"/>
        <w:spacing w:before="0" w:beforeAutospacing="0" w:after="0" w:afterAutospacing="0"/>
        <w:ind w:left="708"/>
        <w:divId w:val="387458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05306" w:rsidRDefault="00205306" w:rsidP="00205306">
      <w:pPr>
        <w:pStyle w:val="a3"/>
        <w:spacing w:before="0" w:beforeAutospacing="0" w:after="0" w:afterAutospacing="0"/>
        <w:ind w:left="708"/>
        <w:divId w:val="38745812"/>
        <w:rPr>
          <w:lang w:val="hy-AM"/>
        </w:rPr>
      </w:pPr>
    </w:p>
    <w:p w:rsidR="00205306" w:rsidRDefault="00205306" w:rsidP="00205306">
      <w:pPr>
        <w:pStyle w:val="a3"/>
        <w:spacing w:before="0" w:beforeAutospacing="0" w:after="0" w:afterAutospacing="0"/>
        <w:ind w:left="708"/>
        <w:divId w:val="38745812"/>
        <w:rPr>
          <w:lang w:val="hy-AM"/>
        </w:rPr>
      </w:pPr>
    </w:p>
    <w:p w:rsidR="00CC1983" w:rsidRPr="00205306" w:rsidRDefault="00CC1983" w:rsidP="00205306">
      <w:pPr>
        <w:pStyle w:val="a3"/>
        <w:divId w:val="38745812"/>
        <w:rPr>
          <w:sz w:val="18"/>
          <w:szCs w:val="18"/>
          <w:lang w:val="hy-AM"/>
        </w:rPr>
      </w:pPr>
    </w:p>
    <w:sectPr w:rsidR="00CC1983" w:rsidRPr="00205306" w:rsidSect="00205306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DBA"/>
    <w:rsid w:val="00205306"/>
    <w:rsid w:val="003C2DBA"/>
    <w:rsid w:val="00C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5BCF0-7E91-41F7-AEB6-120CECF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0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0530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2025-07-17T13:11:00Z</cp:lastPrinted>
  <dcterms:created xsi:type="dcterms:W3CDTF">2025-07-17T13:05:00Z</dcterms:created>
  <dcterms:modified xsi:type="dcterms:W3CDTF">2025-07-17T13:11:00Z</dcterms:modified>
</cp:coreProperties>
</file>