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6015639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650B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b01dbaa08$5f64389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b01dbaa08$5f64389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650B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650BC">
      <w:pPr>
        <w:pStyle w:val="a3"/>
        <w:jc w:val="center"/>
        <w:divId w:val="136015639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875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650BC">
      <w:pPr>
        <w:pStyle w:val="a3"/>
        <w:jc w:val="center"/>
        <w:divId w:val="931399376"/>
      </w:pPr>
      <w:r>
        <w:rPr>
          <w:sz w:val="22"/>
          <w:szCs w:val="22"/>
        </w:rPr>
        <w:t>ԼԻԱՆԱ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ԴԱՆԻԵԼԻ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ԴԱՐԲԻՆՅԱՆԻՆ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ԵՆԹԱՐԿԵԼՈՒ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</w:t>
      </w:r>
      <w:r>
        <w:rPr>
          <w:sz w:val="22"/>
          <w:szCs w:val="22"/>
        </w:rPr>
        <w:t>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ԲՈՒԼՂԱՐԱԿԱՆ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ԱՎԱՆ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40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ԿԱՌՈՒՅՑԸ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ՔԱՆԴԵԼՈՒ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rStyle w:val="a4"/>
          <w:sz w:val="22"/>
          <w:szCs w:val="22"/>
          <w:lang w:val="hy-AM"/>
        </w:rPr>
        <w:t>1</w:t>
      </w:r>
      <w:r w:rsidRPr="007F789B">
        <w:rPr>
          <w:rStyle w:val="a4"/>
          <w:rFonts w:ascii="Cambria Math" w:hAnsi="Cambria Math" w:cs="Cambria Math"/>
          <w:sz w:val="22"/>
          <w:szCs w:val="22"/>
          <w:lang w:val="hy-AM"/>
        </w:rPr>
        <w:t>․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ՀՀ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Վանաձոր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համայնքի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ղեկավարի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որոշման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կարգավորման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առարկան</w:t>
      </w:r>
      <w:r w:rsidRPr="007F789B">
        <w:rPr>
          <w:rStyle w:val="a4"/>
          <w:sz w:val="22"/>
          <w:szCs w:val="22"/>
          <w:lang w:val="hy-AM"/>
        </w:rPr>
        <w:t>.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Լոռու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մարզի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Վանաձորի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համայնքապետարանի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աշխատակազմի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ճարտարապետության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քաղաքաշինության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</w:t>
      </w:r>
      <w:r w:rsidRPr="007F789B">
        <w:rPr>
          <w:sz w:val="22"/>
          <w:szCs w:val="22"/>
        </w:rPr>
        <w:t>ժնի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կողմից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կազմված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արձանագրություն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զեկուցագրի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ՆԳՆ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ոստիականության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համայնքային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ոստիկանության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գլխավոր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Բազումի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բաժնից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ստացված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proofErr w:type="gramStart"/>
      <w:r w:rsidRPr="007F789B">
        <w:rPr>
          <w:sz w:val="22"/>
          <w:szCs w:val="22"/>
        </w:rPr>
        <w:t>գրության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հիման</w:t>
      </w:r>
      <w:proofErr w:type="spellEnd"/>
      <w:proofErr w:type="gram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վրա</w:t>
      </w:r>
      <w:proofErr w:type="spellEnd"/>
      <w:r w:rsidRPr="007F789B">
        <w:rPr>
          <w:sz w:val="22"/>
          <w:szCs w:val="22"/>
        </w:rPr>
        <w:t xml:space="preserve"> «</w:t>
      </w:r>
      <w:proofErr w:type="spellStart"/>
      <w:r w:rsidRPr="007F789B">
        <w:rPr>
          <w:sz w:val="22"/>
          <w:szCs w:val="22"/>
        </w:rPr>
        <w:t>Վարչարարության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հիմունքների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մասին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օրենքի</w:t>
      </w:r>
      <w:proofErr w:type="spellEnd"/>
      <w:r w:rsidRPr="007F789B">
        <w:rPr>
          <w:sz w:val="22"/>
          <w:szCs w:val="22"/>
        </w:rPr>
        <w:t xml:space="preserve"> 30-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</w:t>
      </w:r>
      <w:proofErr w:type="spellEnd"/>
      <w:r w:rsidRPr="007F789B">
        <w:rPr>
          <w:sz w:val="22"/>
          <w:szCs w:val="22"/>
        </w:rPr>
        <w:t xml:space="preserve"> «</w:t>
      </w:r>
      <w:r w:rsidRPr="007F789B">
        <w:rPr>
          <w:sz w:val="22"/>
          <w:szCs w:val="22"/>
        </w:rPr>
        <w:t>բ</w:t>
      </w:r>
      <w:r w:rsidRPr="007F789B">
        <w:rPr>
          <w:sz w:val="22"/>
          <w:szCs w:val="22"/>
        </w:rPr>
        <w:t xml:space="preserve">» </w:t>
      </w:r>
      <w:proofErr w:type="spellStart"/>
      <w:r w:rsidRPr="007F789B">
        <w:rPr>
          <w:sz w:val="22"/>
          <w:szCs w:val="22"/>
        </w:rPr>
        <w:t>կետի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հիմքով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հարուցվել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</w:t>
      </w:r>
      <w:proofErr w:type="spellEnd"/>
      <w:r w:rsidRPr="007F789B">
        <w:rPr>
          <w:sz w:val="22"/>
          <w:szCs w:val="22"/>
        </w:rPr>
        <w:t>։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Վարչարարության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հիմունքների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մասին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օրենքով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կարգով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հարուցված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իրականացված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գործի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քննության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ընթացքում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գործի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փաստական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հանգամանքների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բազմակողմանի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լրիվ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օբ</w:t>
      </w:r>
      <w:r w:rsidRPr="007F789B">
        <w:rPr>
          <w:sz w:val="22"/>
          <w:szCs w:val="22"/>
        </w:rPr>
        <w:t>յեկտիվ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քննության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արդյունքում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բացահայտելով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գործի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բոլոր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հանգամանքները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մարմինը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հաստատված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հետևյալը</w:t>
      </w:r>
      <w:proofErr w:type="spellEnd"/>
      <w:r w:rsidRPr="007F789B">
        <w:rPr>
          <w:sz w:val="22"/>
          <w:szCs w:val="22"/>
        </w:rPr>
        <w:t>.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rStyle w:val="a4"/>
          <w:sz w:val="22"/>
          <w:szCs w:val="22"/>
        </w:rPr>
        <w:t xml:space="preserve">2. </w:t>
      </w:r>
      <w:proofErr w:type="spellStart"/>
      <w:r w:rsidRPr="007F789B">
        <w:rPr>
          <w:rStyle w:val="a4"/>
          <w:sz w:val="22"/>
          <w:szCs w:val="22"/>
        </w:rPr>
        <w:t>Վարչական</w:t>
      </w:r>
      <w:proofErr w:type="spellEnd"/>
      <w:r w:rsidRPr="007F789B">
        <w:rPr>
          <w:rStyle w:val="a4"/>
          <w:sz w:val="22"/>
          <w:szCs w:val="22"/>
        </w:rPr>
        <w:t xml:space="preserve"> </w:t>
      </w:r>
      <w:proofErr w:type="spellStart"/>
      <w:r w:rsidRPr="007F789B">
        <w:rPr>
          <w:rStyle w:val="a4"/>
          <w:sz w:val="22"/>
          <w:szCs w:val="22"/>
        </w:rPr>
        <w:t>ակտ</w:t>
      </w:r>
      <w:proofErr w:type="spellEnd"/>
      <w:r w:rsidRPr="007F789B">
        <w:rPr>
          <w:rStyle w:val="a4"/>
          <w:sz w:val="22"/>
          <w:szCs w:val="22"/>
        </w:rPr>
        <w:t xml:space="preserve"> </w:t>
      </w:r>
      <w:proofErr w:type="spellStart"/>
      <w:r w:rsidRPr="007F789B">
        <w:rPr>
          <w:rStyle w:val="a4"/>
          <w:sz w:val="22"/>
          <w:szCs w:val="22"/>
        </w:rPr>
        <w:t>ընդունելու</w:t>
      </w:r>
      <w:proofErr w:type="spellEnd"/>
      <w:r w:rsidRPr="007F789B">
        <w:rPr>
          <w:rStyle w:val="a4"/>
          <w:sz w:val="22"/>
          <w:szCs w:val="22"/>
        </w:rPr>
        <w:t xml:space="preserve"> </w:t>
      </w:r>
      <w:proofErr w:type="spellStart"/>
      <w:r w:rsidRPr="007F789B">
        <w:rPr>
          <w:rStyle w:val="a4"/>
          <w:sz w:val="22"/>
          <w:szCs w:val="22"/>
        </w:rPr>
        <w:t>համար</w:t>
      </w:r>
      <w:proofErr w:type="spellEnd"/>
      <w:r w:rsidRPr="007F789B">
        <w:rPr>
          <w:rStyle w:val="a4"/>
          <w:sz w:val="22"/>
          <w:szCs w:val="22"/>
        </w:rPr>
        <w:t xml:space="preserve"> </w:t>
      </w:r>
      <w:proofErr w:type="spellStart"/>
      <w:r w:rsidRPr="007F789B">
        <w:rPr>
          <w:rStyle w:val="a4"/>
          <w:sz w:val="22"/>
          <w:szCs w:val="22"/>
        </w:rPr>
        <w:t>հիմք</w:t>
      </w:r>
      <w:proofErr w:type="spellEnd"/>
      <w:r w:rsidRPr="007F789B">
        <w:rPr>
          <w:rStyle w:val="a4"/>
          <w:sz w:val="22"/>
          <w:szCs w:val="22"/>
        </w:rPr>
        <w:t xml:space="preserve"> </w:t>
      </w:r>
      <w:proofErr w:type="spellStart"/>
      <w:r w:rsidRPr="007F789B">
        <w:rPr>
          <w:rStyle w:val="a4"/>
          <w:sz w:val="22"/>
          <w:szCs w:val="22"/>
        </w:rPr>
        <w:t>հանդիսացող</w:t>
      </w:r>
      <w:proofErr w:type="spellEnd"/>
      <w:r w:rsidRPr="007F789B">
        <w:rPr>
          <w:rStyle w:val="a4"/>
          <w:sz w:val="22"/>
          <w:szCs w:val="22"/>
        </w:rPr>
        <w:t xml:space="preserve"> </w:t>
      </w:r>
      <w:proofErr w:type="spellStart"/>
      <w:r w:rsidRPr="007F789B">
        <w:rPr>
          <w:rStyle w:val="a4"/>
          <w:sz w:val="22"/>
          <w:szCs w:val="22"/>
        </w:rPr>
        <w:t>փաստերը</w:t>
      </w:r>
      <w:proofErr w:type="spellEnd"/>
      <w:r w:rsidRPr="007F789B">
        <w:rPr>
          <w:rStyle w:val="a4"/>
          <w:sz w:val="22"/>
          <w:szCs w:val="22"/>
        </w:rPr>
        <w:t>.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proofErr w:type="spellStart"/>
      <w:r w:rsidRPr="007F789B">
        <w:rPr>
          <w:sz w:val="22"/>
          <w:szCs w:val="22"/>
        </w:rPr>
        <w:t>Վանաձորի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համայնքապետարանի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աշխատակազմի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ճարտարապետության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քաղաքաշինության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բաժնի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</w:t>
      </w:r>
      <w:r w:rsidRPr="007F789B">
        <w:rPr>
          <w:sz w:val="22"/>
          <w:szCs w:val="22"/>
        </w:rPr>
        <w:t>ողմից</w:t>
      </w:r>
      <w:proofErr w:type="spellEnd"/>
      <w:r w:rsidRPr="007F789B">
        <w:rPr>
          <w:sz w:val="22"/>
          <w:szCs w:val="22"/>
        </w:rPr>
        <w:t xml:space="preserve"> 17.03.2025</w:t>
      </w:r>
      <w:r w:rsidRPr="007F789B">
        <w:rPr>
          <w:sz w:val="22"/>
          <w:szCs w:val="22"/>
        </w:rPr>
        <w:t>թ</w:t>
      </w:r>
      <w:r w:rsidRPr="007F789B">
        <w:rPr>
          <w:sz w:val="22"/>
          <w:szCs w:val="22"/>
        </w:rPr>
        <w:t xml:space="preserve">. </w:t>
      </w:r>
      <w:proofErr w:type="spellStart"/>
      <w:r w:rsidRPr="007F789B">
        <w:rPr>
          <w:sz w:val="22"/>
          <w:szCs w:val="22"/>
        </w:rPr>
        <w:t>կազմված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արձանագրության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զեկուցագրի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ինչպես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նաև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ՆԳՆ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ոստիականության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համայնքային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ոստիկանության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գլխավոր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Բազումի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բաժնից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ստացված</w:t>
      </w:r>
      <w:proofErr w:type="spellEnd"/>
      <w:r w:rsidRPr="007F789B">
        <w:rPr>
          <w:sz w:val="22"/>
          <w:szCs w:val="22"/>
        </w:rPr>
        <w:t xml:space="preserve"> (13.03.2025</w:t>
      </w:r>
      <w:r w:rsidRPr="007F789B">
        <w:rPr>
          <w:sz w:val="22"/>
          <w:szCs w:val="22"/>
        </w:rPr>
        <w:t>թ</w:t>
      </w:r>
      <w:r w:rsidRPr="007F789B">
        <w:rPr>
          <w:sz w:val="22"/>
          <w:szCs w:val="22"/>
        </w:rPr>
        <w:t xml:space="preserve">. </w:t>
      </w:r>
      <w:proofErr w:type="spellStart"/>
      <w:r w:rsidRPr="007F789B">
        <w:rPr>
          <w:sz w:val="22"/>
          <w:szCs w:val="22"/>
        </w:rPr>
        <w:t>թիվ</w:t>
      </w:r>
      <w:proofErr w:type="spellEnd"/>
      <w:r w:rsidRPr="007F789B">
        <w:rPr>
          <w:sz w:val="22"/>
          <w:szCs w:val="22"/>
        </w:rPr>
        <w:t xml:space="preserve"> 59/4-683) </w:t>
      </w:r>
      <w:proofErr w:type="spellStart"/>
      <w:r w:rsidRPr="007F789B">
        <w:rPr>
          <w:sz w:val="22"/>
          <w:szCs w:val="22"/>
        </w:rPr>
        <w:t>գրության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Լիանա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Դանիելի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Դարբինյանը</w:t>
      </w:r>
      <w:proofErr w:type="spellEnd"/>
      <w:r w:rsidR="007F789B">
        <w:rPr>
          <w:sz w:val="22"/>
          <w:szCs w:val="22"/>
        </w:rPr>
        <w:t xml:space="preserve"> (</w:t>
      </w:r>
      <w:proofErr w:type="spellStart"/>
      <w:r w:rsidRPr="007F789B">
        <w:rPr>
          <w:sz w:val="22"/>
          <w:szCs w:val="22"/>
        </w:rPr>
        <w:t>հաշվառման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հասցե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Վան</w:t>
      </w:r>
      <w:r w:rsidRPr="007F789B">
        <w:rPr>
          <w:sz w:val="22"/>
          <w:szCs w:val="22"/>
        </w:rPr>
        <w:t>աձոր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Բուլղարական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ավան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թղմ</w:t>
      </w:r>
      <w:proofErr w:type="spellEnd"/>
      <w:r w:rsidRPr="007F789B">
        <w:rPr>
          <w:rFonts w:ascii="Cambria Math" w:hAnsi="Cambria Math" w:cs="Cambria Math"/>
          <w:sz w:val="22"/>
          <w:szCs w:val="22"/>
        </w:rPr>
        <w:t>․</w:t>
      </w:r>
      <w:r w:rsidRPr="007F789B">
        <w:rPr>
          <w:sz w:val="22"/>
          <w:szCs w:val="22"/>
        </w:rPr>
        <w:t xml:space="preserve"> 40 </w:t>
      </w:r>
      <w:proofErr w:type="spellStart"/>
      <w:r w:rsidRPr="007F789B">
        <w:rPr>
          <w:sz w:val="22"/>
          <w:szCs w:val="22"/>
        </w:rPr>
        <w:t>տնակ</w:t>
      </w:r>
      <w:proofErr w:type="spellEnd"/>
      <w:r w:rsidRPr="007F789B">
        <w:rPr>
          <w:sz w:val="22"/>
          <w:szCs w:val="22"/>
        </w:rPr>
        <w:t xml:space="preserve">) </w:t>
      </w:r>
      <w:proofErr w:type="spellStart"/>
      <w:r w:rsidRPr="007F789B">
        <w:rPr>
          <w:sz w:val="22"/>
          <w:szCs w:val="22"/>
        </w:rPr>
        <w:t>իրեն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սեփականության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իրավունքով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պատկանող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Վանաձոր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համայնք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Վանաձոր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քաղաքի</w:t>
      </w:r>
      <w:proofErr w:type="spellEnd"/>
      <w:r w:rsidR="007F789B">
        <w:rPr>
          <w:sz w:val="22"/>
          <w:szCs w:val="22"/>
          <w:lang w:val="hy-AM"/>
        </w:rPr>
        <w:t xml:space="preserve"> </w:t>
      </w:r>
      <w:bookmarkStart w:id="0" w:name="_GoBack"/>
      <w:bookmarkEnd w:id="0"/>
      <w:r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Pr="007F789B">
        <w:rPr>
          <w:sz w:val="22"/>
          <w:szCs w:val="22"/>
        </w:rPr>
        <w:t>Բուլղարական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ավան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թղմ</w:t>
      </w:r>
      <w:proofErr w:type="spellEnd"/>
      <w:r w:rsidRPr="007F789B">
        <w:rPr>
          <w:rFonts w:ascii="Cambria Math" w:hAnsi="Cambria Math" w:cs="Cambria Math"/>
          <w:sz w:val="22"/>
          <w:szCs w:val="22"/>
        </w:rPr>
        <w:t>․</w:t>
      </w:r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 xml:space="preserve">40 </w:t>
      </w:r>
      <w:proofErr w:type="spellStart"/>
      <w:r w:rsidRPr="007F789B">
        <w:rPr>
          <w:sz w:val="22"/>
          <w:szCs w:val="22"/>
        </w:rPr>
        <w:t>տնակ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հասցեի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տարածքում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առանց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համապատասխան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իրականացրել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ինքնակամ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շինարարական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աշխատանքներ</w:t>
      </w:r>
      <w:proofErr w:type="spellEnd"/>
      <w:r w:rsidRPr="007F789B">
        <w:rPr>
          <w:sz w:val="22"/>
          <w:szCs w:val="22"/>
        </w:rPr>
        <w:t>։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proofErr w:type="spellStart"/>
      <w:r w:rsidRPr="007F789B">
        <w:rPr>
          <w:sz w:val="22"/>
          <w:szCs w:val="22"/>
        </w:rPr>
        <w:t>Հարուցված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հիման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proofErr w:type="gramStart"/>
      <w:r w:rsidRPr="007F789B">
        <w:rPr>
          <w:sz w:val="22"/>
          <w:szCs w:val="22"/>
        </w:rPr>
        <w:t>վրա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հրավիրվել</w:t>
      </w:r>
      <w:proofErr w:type="spellEnd"/>
      <w:proofErr w:type="gram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են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լսումներ</w:t>
      </w:r>
      <w:proofErr w:type="spellEnd"/>
      <w:r w:rsidRPr="007F789B">
        <w:rPr>
          <w:sz w:val="22"/>
          <w:szCs w:val="22"/>
        </w:rPr>
        <w:t>։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proofErr w:type="spellStart"/>
      <w:r w:rsidRPr="007F789B">
        <w:rPr>
          <w:sz w:val="22"/>
          <w:szCs w:val="22"/>
        </w:rPr>
        <w:lastRenderedPageBreak/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լսումներին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Լիանա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Դանիելի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Դարբինյանը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Լիլիթ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Ժորայի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Սարգսյանը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պատշաճ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ծանուցվել</w:t>
      </w:r>
      <w:proofErr w:type="spellEnd"/>
      <w:r w:rsidRPr="007F789B">
        <w:rPr>
          <w:sz w:val="22"/>
          <w:szCs w:val="22"/>
        </w:rPr>
        <w:t xml:space="preserve"> (</w:t>
      </w:r>
      <w:proofErr w:type="spellStart"/>
      <w:r w:rsidRPr="007F789B">
        <w:rPr>
          <w:sz w:val="22"/>
          <w:szCs w:val="22"/>
        </w:rPr>
        <w:t>հիմք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փոստային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առաքման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ծանուցման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հետադարձ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կտրոն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proofErr w:type="gramStart"/>
      <w:r w:rsidRPr="007F789B">
        <w:rPr>
          <w:sz w:val="22"/>
          <w:szCs w:val="22"/>
        </w:rPr>
        <w:t>թիվ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 xml:space="preserve"> AL</w:t>
      </w:r>
      <w:proofErr w:type="gramEnd"/>
      <w:r w:rsidRPr="007F789B">
        <w:rPr>
          <w:sz w:val="22"/>
          <w:szCs w:val="22"/>
        </w:rPr>
        <w:t xml:space="preserve">0127063572AM, AL0127063524AM) </w:t>
      </w:r>
      <w:r w:rsidRPr="007F789B">
        <w:rPr>
          <w:sz w:val="22"/>
          <w:szCs w:val="22"/>
        </w:rPr>
        <w:t>և</w:t>
      </w:r>
      <w:r w:rsidRPr="007F789B">
        <w:rPr>
          <w:rFonts w:ascii="Calibri" w:hAnsi="Calibri" w:cs="Calibri"/>
          <w:sz w:val="22"/>
          <w:szCs w:val="22"/>
        </w:rPr>
        <w:t>  </w:t>
      </w:r>
      <w:proofErr w:type="spellStart"/>
      <w:r w:rsidRPr="007F789B">
        <w:rPr>
          <w:sz w:val="22"/>
          <w:szCs w:val="22"/>
        </w:rPr>
        <w:t>ն</w:t>
      </w:r>
      <w:r w:rsidRPr="007F789B">
        <w:rPr>
          <w:sz w:val="22"/>
          <w:szCs w:val="22"/>
        </w:rPr>
        <w:t>երկայացել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են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լսումներին</w:t>
      </w:r>
      <w:proofErr w:type="spellEnd"/>
      <w:r w:rsidRPr="007F789B">
        <w:rPr>
          <w:sz w:val="22"/>
          <w:szCs w:val="22"/>
        </w:rPr>
        <w:t>։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Լիլիթ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Ժորայի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Սարգսյանը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պնդեց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բողոքը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այն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հարևանությամբ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բնակվող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Լիանա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Դանիելի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Դարբինյանը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իրականացրել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ինքնակամ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շինարարական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աշխատանքներ</w:t>
      </w:r>
      <w:proofErr w:type="spellEnd"/>
      <w:r w:rsidRPr="007F789B">
        <w:rPr>
          <w:sz w:val="22"/>
          <w:szCs w:val="22"/>
        </w:rPr>
        <w:t>։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Լիանա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Դանիելի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Դարբինյանը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նշեց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իրեն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սեփականության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իրավունքով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</w:t>
      </w:r>
      <w:r w:rsidRPr="007F789B">
        <w:rPr>
          <w:sz w:val="22"/>
          <w:szCs w:val="22"/>
        </w:rPr>
        <w:t>ատկանող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հողատարածքում</w:t>
      </w:r>
      <w:proofErr w:type="spellEnd"/>
      <w:r w:rsidRPr="007F789B">
        <w:rPr>
          <w:sz w:val="22"/>
          <w:szCs w:val="22"/>
        </w:rPr>
        <w:t xml:space="preserve"> 2024 </w:t>
      </w:r>
      <w:proofErr w:type="spellStart"/>
      <w:r w:rsidRPr="007F789B">
        <w:rPr>
          <w:sz w:val="22"/>
          <w:szCs w:val="22"/>
        </w:rPr>
        <w:t>թվականի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ամռանը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կառուցել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պարիսպ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չի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իմացել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դրա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պահանջվում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հատուկ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թույլտվություն</w:t>
      </w:r>
      <w:proofErr w:type="spellEnd"/>
      <w:r w:rsidRPr="007F789B">
        <w:rPr>
          <w:sz w:val="22"/>
          <w:szCs w:val="22"/>
        </w:rPr>
        <w:t>։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rStyle w:val="a4"/>
          <w:sz w:val="22"/>
          <w:szCs w:val="22"/>
          <w:lang w:val="hy-AM"/>
        </w:rPr>
        <w:t xml:space="preserve">3. </w:t>
      </w:r>
      <w:r w:rsidRPr="007F789B">
        <w:rPr>
          <w:rStyle w:val="a4"/>
          <w:sz w:val="22"/>
          <w:szCs w:val="22"/>
          <w:lang w:val="hy-AM"/>
        </w:rPr>
        <w:t>Վարչական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ակտ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ընդունելու</w:t>
      </w:r>
      <w:r w:rsidRPr="007F789B">
        <w:rPr>
          <w:rStyle w:val="a4"/>
          <w:sz w:val="22"/>
          <w:szCs w:val="22"/>
          <w:lang w:val="hy-AM"/>
        </w:rPr>
        <w:t xml:space="preserve"> </w:t>
      </w:r>
      <w:r w:rsidRPr="007F789B">
        <w:rPr>
          <w:rStyle w:val="a4"/>
          <w:sz w:val="22"/>
          <w:szCs w:val="22"/>
          <w:lang w:val="hy-AM"/>
        </w:rPr>
        <w:t>հիմնավորումը</w:t>
      </w:r>
      <w:r w:rsidRPr="007F789B">
        <w:rPr>
          <w:rStyle w:val="a4"/>
          <w:sz w:val="22"/>
          <w:szCs w:val="22"/>
          <w:lang w:val="hy-AM"/>
        </w:rPr>
        <w:t>.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9-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 xml:space="preserve">`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</w:t>
      </w:r>
      <w:proofErr w:type="spellEnd"/>
      <w:r w:rsidRPr="007F789B">
        <w:rPr>
          <w:sz w:val="22"/>
          <w:szCs w:val="22"/>
        </w:rPr>
        <w:t xml:space="preserve"> (</w:t>
      </w:r>
      <w:proofErr w:type="spellStart"/>
      <w:r w:rsidRPr="007F789B">
        <w:rPr>
          <w:sz w:val="22"/>
          <w:szCs w:val="22"/>
        </w:rPr>
        <w:t>զանցանք</w:t>
      </w:r>
      <w:proofErr w:type="spellEnd"/>
      <w:r w:rsidRPr="007F789B">
        <w:rPr>
          <w:sz w:val="22"/>
          <w:szCs w:val="22"/>
        </w:rPr>
        <w:t xml:space="preserve">)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համարվում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պետական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հասարակական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կարգի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սոցիալիստական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սեփականության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քաղաքացիների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իրավունքների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ազատությունների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կառավարման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կարգի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դեմ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ոտնձգվող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հակաիրավական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մեղավոր</w:t>
      </w:r>
      <w:proofErr w:type="spellEnd"/>
      <w:r w:rsidRPr="007F789B">
        <w:rPr>
          <w:sz w:val="22"/>
          <w:szCs w:val="22"/>
        </w:rPr>
        <w:t xml:space="preserve"> (</w:t>
      </w:r>
      <w:proofErr w:type="spellStart"/>
      <w:r w:rsidRPr="007F789B">
        <w:rPr>
          <w:sz w:val="22"/>
          <w:szCs w:val="22"/>
        </w:rPr>
        <w:t>դիտավորյալ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անզգույշ</w:t>
      </w:r>
      <w:proofErr w:type="spellEnd"/>
      <w:r w:rsidRPr="007F789B">
        <w:rPr>
          <w:sz w:val="22"/>
          <w:szCs w:val="22"/>
        </w:rPr>
        <w:t xml:space="preserve">) </w:t>
      </w:r>
      <w:proofErr w:type="spellStart"/>
      <w:r w:rsidRPr="007F789B">
        <w:rPr>
          <w:sz w:val="22"/>
          <w:szCs w:val="22"/>
        </w:rPr>
        <w:t>այնպիսի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գործողությունը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</w:t>
      </w:r>
      <w:r w:rsidRPr="007F789B">
        <w:rPr>
          <w:sz w:val="22"/>
          <w:szCs w:val="22"/>
        </w:rPr>
        <w:t>նգործությունը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որի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օրենսդրությամբ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նախատեսված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պատասխանատվություն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10-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 xml:space="preserve">`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համարվում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դիտավորությամբ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կատարված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եթե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կատարող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անձը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գիտակցել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գոր</w:t>
      </w:r>
      <w:r w:rsidRPr="007F789B">
        <w:rPr>
          <w:sz w:val="22"/>
          <w:szCs w:val="22"/>
        </w:rPr>
        <w:t>ծողության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անգործության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հակաիրավական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բնույթը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կանխատեսել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դրա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վնասակար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հետևանքները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ցանկացել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դրանք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գիտակցաբար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տվել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այդ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հետևանքների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առաջացումը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32-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դրույթների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տույժը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նշանակվում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կատարված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պատասխանատվություն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նախատեսող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նորմատիվ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ակտով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շրջանակներում</w:t>
      </w:r>
      <w:proofErr w:type="spellEnd"/>
      <w:r w:rsidRPr="007F789B">
        <w:rPr>
          <w:sz w:val="22"/>
          <w:szCs w:val="22"/>
        </w:rPr>
        <w:t>, 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</w:t>
      </w:r>
      <w:r w:rsidRPr="007F789B">
        <w:rPr>
          <w:sz w:val="22"/>
          <w:szCs w:val="22"/>
        </w:rPr>
        <w:t>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օրենսգրքին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մյուս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ակտերին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ճիշտ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համապատասխան</w:t>
      </w:r>
      <w:proofErr w:type="spellEnd"/>
      <w:r w:rsidR="007F789B">
        <w:rPr>
          <w:sz w:val="22"/>
          <w:szCs w:val="22"/>
        </w:rPr>
        <w:t xml:space="preserve">: </w:t>
      </w:r>
      <w:proofErr w:type="spellStart"/>
      <w:r w:rsidRPr="007F789B">
        <w:rPr>
          <w:sz w:val="22"/>
          <w:szCs w:val="22"/>
        </w:rPr>
        <w:t>Տույժ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նշանակելիս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հաշվի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են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առնվում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կատարված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բնույթը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խախտողի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անձը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նրա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մեղքի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աստիճանը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գույքային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դրությունը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պատասխանատվությունը</w:t>
      </w:r>
      <w:proofErr w:type="spellEnd"/>
      <w:r w:rsid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մեղմացնող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ծա</w:t>
      </w:r>
      <w:r w:rsidRPr="007F789B">
        <w:rPr>
          <w:sz w:val="22"/>
          <w:szCs w:val="22"/>
        </w:rPr>
        <w:t>նրացնող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հանգամանքները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40-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տույժ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նշանակելը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կատարած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անձին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չի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ազատում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պարտականության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կատարումից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որը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չկատարելու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նշանակվել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էր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տույժ</w:t>
      </w:r>
      <w:proofErr w:type="spellEnd"/>
      <w:r w:rsidRPr="007F789B">
        <w:rPr>
          <w:sz w:val="22"/>
          <w:szCs w:val="22"/>
        </w:rPr>
        <w:t>:</w:t>
      </w:r>
      <w:r w:rsidRPr="007F789B">
        <w:rPr>
          <w:rFonts w:ascii="Calibri" w:hAnsi="Calibri" w:cs="Calibri"/>
          <w:sz w:val="22"/>
          <w:szCs w:val="22"/>
        </w:rPr>
        <w:t> 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քաղաքացիական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188-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ինքնակամ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կառույց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համարվում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օրենքով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ակտերով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կարգով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այդ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նպատակի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չհատկացված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հողամասում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առանց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թույլտվությամբ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պայմանների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քաղաքաշինական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նորմերի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կանոնների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էական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խախտումներով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կառուցված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վերակառուցված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տեղադրված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Pr="007F789B">
        <w:rPr>
          <w:sz w:val="22"/>
          <w:szCs w:val="22"/>
        </w:rPr>
        <w:t>շենքը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շինությունը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կառույցը</w:t>
      </w:r>
      <w:proofErr w:type="spellEnd"/>
      <w:r w:rsidRPr="007F789B">
        <w:rPr>
          <w:sz w:val="22"/>
          <w:szCs w:val="22"/>
        </w:rPr>
        <w:t>:</w:t>
      </w:r>
      <w:r w:rsidR="007F78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Ինքնակամ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կառույցը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չի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կարող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ճանաչվել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օրինական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ենթակա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քանդման</w:t>
      </w:r>
      <w:proofErr w:type="spellEnd"/>
      <w:r w:rsidRPr="007F789B">
        <w:rPr>
          <w:sz w:val="22"/>
          <w:szCs w:val="22"/>
        </w:rPr>
        <w:t xml:space="preserve"> (</w:t>
      </w:r>
      <w:proofErr w:type="spellStart"/>
      <w:r w:rsidRPr="007F789B">
        <w:rPr>
          <w:sz w:val="22"/>
          <w:szCs w:val="22"/>
        </w:rPr>
        <w:t>ապամոնտաժման</w:t>
      </w:r>
      <w:proofErr w:type="spellEnd"/>
      <w:r w:rsidR="007F789B">
        <w:rPr>
          <w:sz w:val="22"/>
          <w:szCs w:val="22"/>
        </w:rPr>
        <w:t xml:space="preserve">): </w:t>
      </w:r>
      <w:proofErr w:type="spellStart"/>
      <w:r w:rsidRPr="007F789B">
        <w:rPr>
          <w:sz w:val="22"/>
          <w:szCs w:val="22"/>
        </w:rPr>
        <w:t>Նման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կառույցի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քանդման</w:t>
      </w:r>
      <w:proofErr w:type="spellEnd"/>
      <w:r w:rsidRPr="007F789B">
        <w:rPr>
          <w:sz w:val="22"/>
          <w:szCs w:val="22"/>
        </w:rPr>
        <w:t xml:space="preserve"> (</w:t>
      </w:r>
      <w:proofErr w:type="spellStart"/>
      <w:r w:rsidRPr="007F789B">
        <w:rPr>
          <w:sz w:val="22"/>
          <w:szCs w:val="22"/>
        </w:rPr>
        <w:t>ապամոնտաժման</w:t>
      </w:r>
      <w:proofErr w:type="spellEnd"/>
      <w:r w:rsidRPr="007F789B">
        <w:rPr>
          <w:sz w:val="22"/>
          <w:szCs w:val="22"/>
        </w:rPr>
        <w:t xml:space="preserve">) </w:t>
      </w:r>
      <w:proofErr w:type="spellStart"/>
      <w:r w:rsidRPr="007F789B">
        <w:rPr>
          <w:sz w:val="22"/>
          <w:szCs w:val="22"/>
        </w:rPr>
        <w:t>կարգը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ժամկետները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են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Հայաստանի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Հանրապետության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կառավարության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որոշմամբ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154-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սեփականության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հողօգտագործման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իրավունք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ունեցող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անձի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կողմից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այդ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հողամասի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վրա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ինչպես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նաև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անհատական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բնակելի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տներում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ստորաբաժանված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բազմաբնակարան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շենքերում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շենքերին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կից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օրենքով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ակտերով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կարգով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այդ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նպատակի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չհատկացված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հողամասում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առանց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lastRenderedPageBreak/>
        <w:t>թույլտվության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թույլտվությամբ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պայմանների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քաղաքաշինական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նորմերի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ու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կանոնների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էական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խախտումներով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շենք</w:t>
      </w:r>
      <w:proofErr w:type="spellEnd"/>
      <w:r w:rsidRPr="007F789B">
        <w:rPr>
          <w:sz w:val="22"/>
          <w:szCs w:val="22"/>
        </w:rPr>
        <w:t xml:space="preserve">, </w:t>
      </w:r>
      <w:proofErr w:type="spellStart"/>
      <w:r w:rsidRPr="007F789B">
        <w:rPr>
          <w:sz w:val="22"/>
          <w:szCs w:val="22"/>
        </w:rPr>
        <w:t>շինություն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այլ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կառույց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կառուցելը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վերակառուցելը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տեղադրելը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առանց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շինարարություն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տեղադրման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թույլտվություն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պահանջող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շինարարական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աշխատանքներ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առանց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թույլտվության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քանդում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ապամոնտաժում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իրականացնելը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Pr="007F789B">
        <w:rPr>
          <w:sz w:val="22"/>
          <w:szCs w:val="22"/>
        </w:rPr>
        <w:t>առաջացնում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տուգանքի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նշանակում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սահմանված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նվազագույն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աշխատավարձի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յոթհարյուրհիսնապատիկից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հազարհինգհարյուրապատիկի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չափով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>219</w:t>
      </w:r>
      <w:r w:rsidRPr="007F789B">
        <w:rPr>
          <w:rFonts w:ascii="Cambria Math" w:hAnsi="Cambria Math" w:cs="Cambria Math"/>
          <w:sz w:val="22"/>
          <w:szCs w:val="22"/>
        </w:rPr>
        <w:t>․</w:t>
      </w:r>
      <w:r w:rsidRPr="007F789B">
        <w:rPr>
          <w:sz w:val="22"/>
          <w:szCs w:val="22"/>
          <w:vertAlign w:val="superscript"/>
        </w:rPr>
        <w:t>1</w:t>
      </w:r>
      <w:r w:rsidRPr="007F789B">
        <w:rPr>
          <w:sz w:val="22"/>
          <w:szCs w:val="22"/>
        </w:rPr>
        <w:t>-</w:t>
      </w:r>
      <w:r w:rsidRPr="007F789B">
        <w:rPr>
          <w:sz w:val="22"/>
          <w:szCs w:val="22"/>
        </w:rPr>
        <w:t>րդ</w:t>
      </w:r>
      <w:r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համաձայն</w:t>
      </w:r>
      <w:proofErr w:type="spellEnd"/>
      <w:r w:rsidRPr="007F789B">
        <w:rPr>
          <w:sz w:val="22"/>
          <w:szCs w:val="22"/>
        </w:rPr>
        <w:t xml:space="preserve">` </w:t>
      </w:r>
      <w:proofErr w:type="spellStart"/>
      <w:r w:rsidRPr="007F789B">
        <w:rPr>
          <w:sz w:val="22"/>
          <w:szCs w:val="22"/>
        </w:rPr>
        <w:t>տեղական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ինքնակառավարման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մարմինները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իրենց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իրավասության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ս</w:t>
      </w:r>
      <w:r w:rsidRPr="007F789B">
        <w:rPr>
          <w:sz w:val="22"/>
          <w:szCs w:val="22"/>
        </w:rPr>
        <w:t>ահմաններում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քննում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են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154-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նախատեսված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գործերը</w:t>
      </w:r>
      <w:proofErr w:type="spellEnd"/>
      <w:r w:rsidRPr="007F789B">
        <w:rPr>
          <w:sz w:val="22"/>
          <w:szCs w:val="22"/>
        </w:rPr>
        <w:t xml:space="preserve">: </w:t>
      </w:r>
      <w:proofErr w:type="spellStart"/>
      <w:r w:rsidRPr="007F789B">
        <w:rPr>
          <w:sz w:val="22"/>
          <w:szCs w:val="22"/>
        </w:rPr>
        <w:t>Համայնքի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ղեկավարը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տեղական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ինքնակառավարման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մարմինների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անունից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գործեր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քննելու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տույժ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նշանակելու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իրավունք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ունի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rFonts w:ascii="Calibri" w:hAnsi="Calibri" w:cs="Calibri"/>
          <w:sz w:val="22"/>
          <w:szCs w:val="22"/>
        </w:rPr>
        <w:t> 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proofErr w:type="spellStart"/>
      <w:r w:rsidRPr="007F789B">
        <w:rPr>
          <w:sz w:val="22"/>
          <w:szCs w:val="22"/>
        </w:rPr>
        <w:t>Ելնել</w:t>
      </w:r>
      <w:r w:rsidRPr="007F789B">
        <w:rPr>
          <w:sz w:val="22"/>
          <w:szCs w:val="22"/>
        </w:rPr>
        <w:t>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վերոգրյալից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ղեկավարվելով</w:t>
      </w:r>
      <w:proofErr w:type="spellEnd"/>
      <w:r w:rsidRPr="007F789B">
        <w:rPr>
          <w:sz w:val="22"/>
          <w:szCs w:val="22"/>
        </w:rPr>
        <w:t xml:space="preserve"> 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40-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>, 154-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>, 219</w:t>
      </w:r>
      <w:r w:rsidRPr="007F789B">
        <w:rPr>
          <w:rFonts w:ascii="Cambria Math" w:hAnsi="Cambria Math" w:cs="Cambria Math"/>
          <w:sz w:val="22"/>
          <w:szCs w:val="22"/>
        </w:rPr>
        <w:t>․</w:t>
      </w:r>
      <w:r w:rsidRPr="007F789B">
        <w:rPr>
          <w:sz w:val="22"/>
          <w:szCs w:val="22"/>
          <w:vertAlign w:val="superscript"/>
        </w:rPr>
        <w:t>1</w:t>
      </w:r>
      <w:r w:rsidRPr="007F789B">
        <w:rPr>
          <w:sz w:val="22"/>
          <w:szCs w:val="22"/>
        </w:rPr>
        <w:t>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>, 245-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>, 279-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հոդվածներով</w:t>
      </w:r>
      <w:proofErr w:type="spellEnd"/>
      <w:r w:rsidRPr="007F789B">
        <w:rPr>
          <w:sz w:val="22"/>
          <w:szCs w:val="22"/>
        </w:rPr>
        <w:t>, «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քաղաքացիական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>» 188-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հոդվածով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«</w:t>
      </w:r>
      <w:proofErr w:type="spellStart"/>
      <w:r w:rsidRPr="007F789B">
        <w:rPr>
          <w:sz w:val="22"/>
          <w:szCs w:val="22"/>
        </w:rPr>
        <w:t>Վարչարարության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հիմունքների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վարույթի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մասին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օրենքի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>20-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</w:t>
      </w:r>
      <w:r w:rsidRPr="007F789B">
        <w:rPr>
          <w:sz w:val="22"/>
          <w:szCs w:val="22"/>
        </w:rPr>
        <w:t>ածի</w:t>
      </w:r>
      <w:proofErr w:type="spellEnd"/>
      <w:r w:rsidRPr="007F789B">
        <w:rPr>
          <w:sz w:val="22"/>
          <w:szCs w:val="22"/>
        </w:rPr>
        <w:t xml:space="preserve"> 4-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մասով</w:t>
      </w:r>
      <w:proofErr w:type="spellEnd"/>
      <w:r w:rsidRPr="007F789B">
        <w:rPr>
          <w:sz w:val="22"/>
          <w:szCs w:val="22"/>
        </w:rPr>
        <w:t xml:space="preserve">, 29.1 </w:t>
      </w:r>
      <w:proofErr w:type="spellStart"/>
      <w:r w:rsidRPr="007F789B">
        <w:rPr>
          <w:sz w:val="22"/>
          <w:szCs w:val="22"/>
        </w:rPr>
        <w:t>հոդվածով</w:t>
      </w:r>
      <w:proofErr w:type="spellEnd"/>
      <w:r w:rsidRPr="007F789B">
        <w:rPr>
          <w:sz w:val="22"/>
          <w:szCs w:val="22"/>
        </w:rPr>
        <w:t>, 30-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մասով</w:t>
      </w:r>
      <w:proofErr w:type="spellEnd"/>
      <w:r w:rsidRPr="007F789B">
        <w:rPr>
          <w:sz w:val="22"/>
          <w:szCs w:val="22"/>
        </w:rPr>
        <w:t>,</w:t>
      </w:r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>53-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>, 58-60-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հոդվածներով</w:t>
      </w:r>
      <w:proofErr w:type="spellEnd"/>
      <w:r w:rsidRPr="007F789B">
        <w:rPr>
          <w:sz w:val="22"/>
          <w:szCs w:val="22"/>
        </w:rPr>
        <w:t>,</w:t>
      </w:r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rFonts w:cs="GHEA Grapalat"/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Տեղական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ինքնակառավարման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մասին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օրենքի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>9-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2-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</w:t>
      </w:r>
      <w:proofErr w:type="spellEnd"/>
      <w:r w:rsidRPr="007F789B">
        <w:rPr>
          <w:sz w:val="22"/>
          <w:szCs w:val="22"/>
        </w:rPr>
        <w:t>,</w:t>
      </w:r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>35-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մասի</w:t>
      </w:r>
      <w:proofErr w:type="spellEnd"/>
      <w:r w:rsidRPr="007F789B">
        <w:rPr>
          <w:sz w:val="22"/>
          <w:szCs w:val="22"/>
        </w:rPr>
        <w:t xml:space="preserve"> 24-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կետով</w:t>
      </w:r>
      <w:proofErr w:type="spellEnd"/>
      <w:r w:rsidRPr="007F789B">
        <w:rPr>
          <w:sz w:val="22"/>
          <w:szCs w:val="22"/>
        </w:rPr>
        <w:t>՝</w:t>
      </w:r>
    </w:p>
    <w:p w:rsidR="00000000" w:rsidRPr="007F789B" w:rsidRDefault="007F789B" w:rsidP="007F789B">
      <w:pPr>
        <w:pStyle w:val="a3"/>
        <w:jc w:val="both"/>
        <w:divId w:val="1360156399"/>
        <w:rPr>
          <w:sz w:val="22"/>
          <w:szCs w:val="22"/>
        </w:rPr>
      </w:pPr>
      <w:r>
        <w:rPr>
          <w:rStyle w:val="a4"/>
          <w:sz w:val="22"/>
          <w:szCs w:val="22"/>
          <w:lang w:val="hy-AM"/>
        </w:rPr>
        <w:t xml:space="preserve">                                                             </w:t>
      </w:r>
      <w:r w:rsidR="00E650BC" w:rsidRPr="007F789B">
        <w:rPr>
          <w:rStyle w:val="a4"/>
          <w:sz w:val="22"/>
          <w:szCs w:val="22"/>
        </w:rPr>
        <w:t>Ո</w:t>
      </w:r>
      <w:r w:rsidR="00E650BC" w:rsidRPr="007F789B">
        <w:rPr>
          <w:rStyle w:val="a4"/>
          <w:sz w:val="22"/>
          <w:szCs w:val="22"/>
        </w:rPr>
        <w:t xml:space="preserve"> </w:t>
      </w:r>
      <w:r w:rsidR="00E650BC" w:rsidRPr="007F789B">
        <w:rPr>
          <w:rStyle w:val="a4"/>
          <w:sz w:val="22"/>
          <w:szCs w:val="22"/>
        </w:rPr>
        <w:t>Ր</w:t>
      </w:r>
      <w:r w:rsidR="00E650BC" w:rsidRPr="007F789B">
        <w:rPr>
          <w:rStyle w:val="a4"/>
          <w:sz w:val="22"/>
          <w:szCs w:val="22"/>
        </w:rPr>
        <w:t xml:space="preserve"> </w:t>
      </w:r>
      <w:proofErr w:type="gramStart"/>
      <w:r w:rsidR="00E650BC" w:rsidRPr="007F789B">
        <w:rPr>
          <w:rStyle w:val="a4"/>
          <w:sz w:val="22"/>
          <w:szCs w:val="22"/>
        </w:rPr>
        <w:t>Ո</w:t>
      </w:r>
      <w:r w:rsidR="00E650BC" w:rsidRPr="007F789B">
        <w:rPr>
          <w:rStyle w:val="a4"/>
          <w:rFonts w:ascii="Calibri" w:hAnsi="Calibri" w:cs="Calibri"/>
          <w:sz w:val="22"/>
          <w:szCs w:val="22"/>
        </w:rPr>
        <w:t> </w:t>
      </w:r>
      <w:r w:rsidR="00E650BC" w:rsidRPr="007F789B">
        <w:rPr>
          <w:rStyle w:val="a4"/>
          <w:sz w:val="22"/>
          <w:szCs w:val="22"/>
        </w:rPr>
        <w:t xml:space="preserve"> </w:t>
      </w:r>
      <w:r w:rsidR="00E650BC" w:rsidRPr="007F789B">
        <w:rPr>
          <w:rStyle w:val="a4"/>
          <w:sz w:val="22"/>
          <w:szCs w:val="22"/>
        </w:rPr>
        <w:t>Շ</w:t>
      </w:r>
      <w:proofErr w:type="gramEnd"/>
      <w:r w:rsidR="00E650BC" w:rsidRPr="007F789B">
        <w:rPr>
          <w:rStyle w:val="a4"/>
          <w:sz w:val="22"/>
          <w:szCs w:val="22"/>
        </w:rPr>
        <w:t xml:space="preserve"> </w:t>
      </w:r>
      <w:r w:rsidR="00E650BC" w:rsidRPr="007F789B">
        <w:rPr>
          <w:rStyle w:val="a4"/>
          <w:sz w:val="22"/>
          <w:szCs w:val="22"/>
        </w:rPr>
        <w:t>Ե</w:t>
      </w:r>
      <w:r w:rsidR="00E650BC" w:rsidRPr="007F789B">
        <w:rPr>
          <w:rStyle w:val="a4"/>
          <w:sz w:val="22"/>
          <w:szCs w:val="22"/>
        </w:rPr>
        <w:t xml:space="preserve"> </w:t>
      </w:r>
      <w:r w:rsidR="00E650BC" w:rsidRPr="007F789B">
        <w:rPr>
          <w:rStyle w:val="a4"/>
          <w:sz w:val="22"/>
          <w:szCs w:val="22"/>
        </w:rPr>
        <w:t>Ց</w:t>
      </w:r>
      <w:r w:rsidR="00E650BC" w:rsidRPr="007F789B">
        <w:rPr>
          <w:rStyle w:val="a4"/>
          <w:sz w:val="22"/>
          <w:szCs w:val="22"/>
        </w:rPr>
        <w:t xml:space="preserve"> </w:t>
      </w:r>
      <w:r w:rsidR="00E650BC" w:rsidRPr="007F789B">
        <w:rPr>
          <w:rStyle w:val="a4"/>
          <w:sz w:val="22"/>
          <w:szCs w:val="22"/>
        </w:rPr>
        <w:t>Ի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</w:rPr>
        <w:t>1.</w:t>
      </w:r>
      <w:r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Pr="007F789B">
        <w:rPr>
          <w:sz w:val="22"/>
          <w:szCs w:val="22"/>
        </w:rPr>
        <w:t>Լիանա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Դանիելի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Դարբինյանին</w:t>
      </w:r>
      <w:proofErr w:type="spellEnd"/>
      <w:r w:rsidRPr="007F789B">
        <w:rPr>
          <w:rFonts w:ascii="Calibri" w:hAnsi="Calibri" w:cs="Calibri"/>
          <w:sz w:val="22"/>
          <w:szCs w:val="22"/>
        </w:rPr>
        <w:t> </w:t>
      </w:r>
      <w:r w:rsidR="007F789B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F789B">
        <w:rPr>
          <w:rFonts w:ascii="Calibri" w:hAnsi="Calibri" w:cs="Calibri"/>
          <w:sz w:val="22"/>
          <w:szCs w:val="22"/>
        </w:rPr>
        <w:t> </w:t>
      </w:r>
      <w:r w:rsidRPr="007F789B">
        <w:rPr>
          <w:sz w:val="22"/>
          <w:szCs w:val="22"/>
          <w:lang w:val="hy-AM"/>
        </w:rPr>
        <w:t>ենթարկել</w:t>
      </w:r>
      <w:r w:rsidRPr="007F789B">
        <w:rPr>
          <w:sz w:val="22"/>
          <w:szCs w:val="22"/>
          <w:lang w:val="hy-AM"/>
        </w:rPr>
        <w:t xml:space="preserve"> </w:t>
      </w:r>
      <w:r w:rsidRPr="007F789B">
        <w:rPr>
          <w:sz w:val="22"/>
          <w:szCs w:val="22"/>
          <w:lang w:val="hy-AM"/>
        </w:rPr>
        <w:t>վարչական</w:t>
      </w:r>
      <w:r w:rsidRPr="007F789B">
        <w:rPr>
          <w:sz w:val="22"/>
          <w:szCs w:val="22"/>
          <w:lang w:val="hy-AM"/>
        </w:rPr>
        <w:t xml:space="preserve"> </w:t>
      </w:r>
      <w:r w:rsidRPr="007F789B">
        <w:rPr>
          <w:sz w:val="22"/>
          <w:szCs w:val="22"/>
          <w:lang w:val="hy-AM"/>
        </w:rPr>
        <w:t>պատասխանատվության՝</w:t>
      </w:r>
      <w:r w:rsidR="007F789B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7F789B">
        <w:rPr>
          <w:sz w:val="22"/>
          <w:szCs w:val="22"/>
        </w:rPr>
        <w:t>«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իրավախախտումների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վերաբերյալ</w:t>
      </w:r>
      <w:proofErr w:type="spellEnd"/>
      <w:r w:rsidRPr="007F789B">
        <w:rPr>
          <w:sz w:val="22"/>
          <w:szCs w:val="22"/>
        </w:rPr>
        <w:t xml:space="preserve">»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օրենսգրքի</w:t>
      </w:r>
      <w:proofErr w:type="spellEnd"/>
      <w:r w:rsidRPr="007F789B">
        <w:rPr>
          <w:sz w:val="22"/>
          <w:szCs w:val="22"/>
        </w:rPr>
        <w:t xml:space="preserve"> 154-</w:t>
      </w:r>
      <w:r w:rsidRPr="007F789B">
        <w:rPr>
          <w:sz w:val="22"/>
          <w:szCs w:val="22"/>
        </w:rPr>
        <w:t>րդ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հոդվածի</w:t>
      </w:r>
      <w:proofErr w:type="spellEnd"/>
      <w:r w:rsidRPr="007F789B">
        <w:rPr>
          <w:sz w:val="22"/>
          <w:szCs w:val="22"/>
        </w:rPr>
        <w:t xml:space="preserve"> 1-</w:t>
      </w:r>
      <w:r w:rsidRPr="007F789B">
        <w:rPr>
          <w:sz w:val="22"/>
          <w:szCs w:val="22"/>
        </w:rPr>
        <w:t>ին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մասով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նախատեսված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արարք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կատարելու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համար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նշանակել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տուգանք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750.000 (</w:t>
      </w:r>
      <w:proofErr w:type="spellStart"/>
      <w:r w:rsidRPr="007F789B">
        <w:rPr>
          <w:sz w:val="22"/>
          <w:szCs w:val="22"/>
        </w:rPr>
        <w:t>յոթ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հարյուր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հիսուն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հազար</w:t>
      </w:r>
      <w:proofErr w:type="spellEnd"/>
      <w:r w:rsidRPr="007F789B">
        <w:rPr>
          <w:sz w:val="22"/>
          <w:szCs w:val="22"/>
        </w:rPr>
        <w:t xml:space="preserve">) </w:t>
      </w:r>
      <w:r w:rsidRPr="007F789B">
        <w:rPr>
          <w:sz w:val="22"/>
          <w:szCs w:val="22"/>
        </w:rPr>
        <w:t>ՀՀ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դրամ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  <w:lang w:val="nl-NL"/>
        </w:rPr>
        <w:t>2.</w:t>
      </w:r>
      <w:r w:rsidRPr="007F789B">
        <w:rPr>
          <w:rFonts w:ascii="Calibri" w:hAnsi="Calibri" w:cs="Calibri"/>
          <w:sz w:val="22"/>
          <w:szCs w:val="22"/>
          <w:lang w:val="nl-NL"/>
        </w:rPr>
        <w:t> </w:t>
      </w:r>
      <w:proofErr w:type="spellStart"/>
      <w:r w:rsidRPr="007F789B">
        <w:rPr>
          <w:sz w:val="22"/>
          <w:szCs w:val="22"/>
        </w:rPr>
        <w:t>Լիանա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Դանիելի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Դարբինյանին</w:t>
      </w:r>
      <w:proofErr w:type="spellEnd"/>
      <w:r w:rsidRPr="007F789B">
        <w:rPr>
          <w:sz w:val="22"/>
          <w:szCs w:val="22"/>
        </w:rPr>
        <w:t>՝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տուգանքի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գումա</w:t>
      </w:r>
      <w:r w:rsidRPr="007F789B">
        <w:rPr>
          <w:sz w:val="22"/>
          <w:szCs w:val="22"/>
        </w:rPr>
        <w:t>րը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վճարել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Վանաձորի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ՏԳԲ</w:t>
      </w:r>
      <w:r w:rsidRPr="007F789B">
        <w:rPr>
          <w:sz w:val="22"/>
          <w:szCs w:val="22"/>
        </w:rPr>
        <w:t xml:space="preserve"> 900235401537 </w:t>
      </w:r>
      <w:proofErr w:type="spellStart"/>
      <w:r w:rsidRPr="007F789B">
        <w:rPr>
          <w:sz w:val="22"/>
          <w:szCs w:val="22"/>
        </w:rPr>
        <w:t>հաշվարկային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հաշվին</w:t>
      </w:r>
      <w:proofErr w:type="spellEnd"/>
      <w:r w:rsidRPr="007F789B">
        <w:rPr>
          <w:sz w:val="22"/>
          <w:szCs w:val="22"/>
        </w:rPr>
        <w:t>։</w:t>
      </w:r>
    </w:p>
    <w:p w:rsidR="00000000" w:rsidRPr="007F789B" w:rsidRDefault="007F789B" w:rsidP="007F789B">
      <w:pPr>
        <w:pStyle w:val="a3"/>
        <w:jc w:val="both"/>
        <w:divId w:val="1360156399"/>
        <w:rPr>
          <w:sz w:val="22"/>
          <w:szCs w:val="22"/>
        </w:rPr>
      </w:pPr>
      <w:r>
        <w:rPr>
          <w:sz w:val="22"/>
          <w:szCs w:val="22"/>
        </w:rPr>
        <w:t>3.</w:t>
      </w:r>
      <w:r w:rsidR="00E650BC" w:rsidRPr="007F789B">
        <w:rPr>
          <w:sz w:val="22"/>
          <w:szCs w:val="22"/>
        </w:rPr>
        <w:t>Քանդել</w:t>
      </w:r>
      <w:r w:rsidR="00E650BC"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="00E650BC" w:rsidRPr="007F789B">
        <w:rPr>
          <w:sz w:val="22"/>
          <w:szCs w:val="22"/>
        </w:rPr>
        <w:t>Լիանա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Դանիելի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Դարբինյանին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սեփականության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իրավունքով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պատկանող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Վանաձոր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համայնք</w:t>
      </w:r>
      <w:proofErr w:type="spellEnd"/>
      <w:r w:rsidR="00E650BC" w:rsidRPr="007F789B">
        <w:rPr>
          <w:sz w:val="22"/>
          <w:szCs w:val="22"/>
        </w:rPr>
        <w:t>,</w:t>
      </w:r>
      <w:r w:rsidR="00E650BC"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="00E650BC" w:rsidRPr="007F789B">
        <w:rPr>
          <w:sz w:val="22"/>
          <w:szCs w:val="22"/>
        </w:rPr>
        <w:t>Վանաձոր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քաղաքի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Բուլղարական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ավան</w:t>
      </w:r>
      <w:proofErr w:type="spellEnd"/>
      <w:r w:rsidR="00E650BC" w:rsidRPr="007F789B">
        <w:rPr>
          <w:sz w:val="22"/>
          <w:szCs w:val="22"/>
        </w:rPr>
        <w:t xml:space="preserve"> 1-</w:t>
      </w:r>
      <w:r w:rsidR="00E650BC" w:rsidRPr="007F789B">
        <w:rPr>
          <w:sz w:val="22"/>
          <w:szCs w:val="22"/>
        </w:rPr>
        <w:t>ին</w:t>
      </w:r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թաղամաս</w:t>
      </w:r>
      <w:proofErr w:type="spellEnd"/>
      <w:r w:rsidR="00E650BC" w:rsidRPr="007F789B">
        <w:rPr>
          <w:sz w:val="22"/>
          <w:szCs w:val="22"/>
        </w:rPr>
        <w:t xml:space="preserve"> 40 </w:t>
      </w:r>
      <w:proofErr w:type="spellStart"/>
      <w:r w:rsidR="00E650BC" w:rsidRPr="007F789B">
        <w:rPr>
          <w:sz w:val="22"/>
          <w:szCs w:val="22"/>
        </w:rPr>
        <w:t>տնակ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հասցեի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տարածքում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ինքնակամ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կառույցը</w:t>
      </w:r>
      <w:proofErr w:type="spellEnd"/>
      <w:r w:rsidR="00E650BC"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>4</w:t>
      </w:r>
      <w:r w:rsidRPr="007F789B">
        <w:rPr>
          <w:rFonts w:ascii="Cambria Math" w:hAnsi="Cambria Math" w:cs="Cambria Math"/>
          <w:sz w:val="22"/>
          <w:szCs w:val="22"/>
        </w:rPr>
        <w:t>․</w:t>
      </w:r>
      <w:r w:rsidRPr="007F789B">
        <w:rPr>
          <w:sz w:val="22"/>
          <w:szCs w:val="22"/>
        </w:rPr>
        <w:t>Քանդման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աշխատանքների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վերահսկողությունը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դնել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Վանաձորի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համայնքապետարանի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ճարտարապետության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և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քաղաքաշինության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բաժնի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վրա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sz w:val="22"/>
          <w:szCs w:val="22"/>
        </w:rPr>
        <w:t xml:space="preserve">5. </w:t>
      </w:r>
      <w:proofErr w:type="spellStart"/>
      <w:r w:rsidRPr="007F789B">
        <w:rPr>
          <w:sz w:val="22"/>
          <w:szCs w:val="22"/>
        </w:rPr>
        <w:t>Սույն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որոշումն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ուժի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մեջ</w:t>
      </w:r>
      <w:proofErr w:type="spellEnd"/>
      <w:r w:rsidRPr="007F789B">
        <w:rPr>
          <w:sz w:val="22"/>
          <w:szCs w:val="22"/>
        </w:rPr>
        <w:t xml:space="preserve"> </w:t>
      </w:r>
      <w:r w:rsidRPr="007F789B">
        <w:rPr>
          <w:sz w:val="22"/>
          <w:szCs w:val="22"/>
        </w:rPr>
        <w:t>է</w:t>
      </w:r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մտնում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վարչական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ակտի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հասցեատիրոջն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իրազեկելուն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հաջորդող</w:t>
      </w:r>
      <w:proofErr w:type="spellEnd"/>
      <w:r w:rsidRPr="007F789B">
        <w:rPr>
          <w:sz w:val="22"/>
          <w:szCs w:val="22"/>
        </w:rPr>
        <w:t xml:space="preserve"> </w:t>
      </w:r>
      <w:proofErr w:type="spellStart"/>
      <w:r w:rsidRPr="007F789B">
        <w:rPr>
          <w:sz w:val="22"/>
          <w:szCs w:val="22"/>
        </w:rPr>
        <w:t>օրվանից</w:t>
      </w:r>
      <w:proofErr w:type="spellEnd"/>
      <w:r w:rsidRPr="007F789B">
        <w:rPr>
          <w:sz w:val="22"/>
          <w:szCs w:val="22"/>
        </w:rPr>
        <w:t>:</w:t>
      </w:r>
    </w:p>
    <w:p w:rsidR="00000000" w:rsidRPr="007F789B" w:rsidRDefault="007F789B" w:rsidP="007F789B">
      <w:pPr>
        <w:pStyle w:val="a3"/>
        <w:jc w:val="both"/>
        <w:divId w:val="1360156399"/>
        <w:rPr>
          <w:sz w:val="22"/>
          <w:szCs w:val="22"/>
        </w:rPr>
      </w:pPr>
      <w:r>
        <w:rPr>
          <w:sz w:val="22"/>
          <w:szCs w:val="22"/>
        </w:rPr>
        <w:t>6.</w:t>
      </w:r>
      <w:r w:rsidR="00E650BC" w:rsidRPr="007F789B">
        <w:rPr>
          <w:sz w:val="22"/>
          <w:szCs w:val="22"/>
        </w:rPr>
        <w:t>Սույն</w:t>
      </w:r>
      <w:r w:rsidR="00E650BC" w:rsidRPr="007F789B">
        <w:rPr>
          <w:rFonts w:ascii="Calibri" w:hAnsi="Calibri" w:cs="Calibri"/>
          <w:sz w:val="22"/>
          <w:szCs w:val="22"/>
        </w:rPr>
        <w:t> </w:t>
      </w:r>
      <w:proofErr w:type="spellStart"/>
      <w:r w:rsidR="00E650BC" w:rsidRPr="007F789B">
        <w:rPr>
          <w:sz w:val="22"/>
          <w:szCs w:val="22"/>
        </w:rPr>
        <w:t>որոշումը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համարվում</w:t>
      </w:r>
      <w:proofErr w:type="spellEnd"/>
      <w:r w:rsidR="00E650BC" w:rsidRPr="007F789B">
        <w:rPr>
          <w:sz w:val="22"/>
          <w:szCs w:val="22"/>
        </w:rPr>
        <w:t xml:space="preserve"> </w:t>
      </w:r>
      <w:r w:rsidR="00E650BC" w:rsidRPr="007F789B">
        <w:rPr>
          <w:sz w:val="22"/>
          <w:szCs w:val="22"/>
        </w:rPr>
        <w:t>է</w:t>
      </w:r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վարչական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ակտի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հասցեատիրոջը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հանձնված</w:t>
      </w:r>
      <w:proofErr w:type="spellEnd"/>
      <w:r w:rsidR="00E650BC" w:rsidRPr="007F789B">
        <w:rPr>
          <w:sz w:val="22"/>
          <w:szCs w:val="22"/>
        </w:rPr>
        <w:t xml:space="preserve"> (</w:t>
      </w:r>
      <w:proofErr w:type="spellStart"/>
      <w:r w:rsidR="00E650BC" w:rsidRPr="007F789B">
        <w:rPr>
          <w:sz w:val="22"/>
          <w:szCs w:val="22"/>
        </w:rPr>
        <w:t>պ</w:t>
      </w:r>
      <w:r w:rsidR="00E650BC" w:rsidRPr="007F789B">
        <w:rPr>
          <w:sz w:val="22"/>
          <w:szCs w:val="22"/>
        </w:rPr>
        <w:t>ատշաճ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ծանուցված</w:t>
      </w:r>
      <w:proofErr w:type="spellEnd"/>
      <w:r w:rsidR="00E650BC" w:rsidRPr="007F789B">
        <w:rPr>
          <w:sz w:val="22"/>
          <w:szCs w:val="22"/>
        </w:rPr>
        <w:t xml:space="preserve">) </w:t>
      </w:r>
      <w:proofErr w:type="spellStart"/>
      <w:r w:rsidR="00E650BC" w:rsidRPr="007F789B">
        <w:rPr>
          <w:sz w:val="22"/>
          <w:szCs w:val="22"/>
        </w:rPr>
        <w:t>նաև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որոշման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մասին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ծանուցումը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Հայաստանի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Հանրապետության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հրապարակային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ծանուցումների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պաշտոնական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ինտերնետային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կայքում</w:t>
      </w:r>
      <w:proofErr w:type="spellEnd"/>
      <w:r w:rsidR="00E650BC" w:rsidRPr="007F789B">
        <w:rPr>
          <w:sz w:val="22"/>
          <w:szCs w:val="22"/>
        </w:rPr>
        <w:t xml:space="preserve"> (azdarar.am) </w:t>
      </w:r>
      <w:proofErr w:type="spellStart"/>
      <w:r w:rsidR="00E650BC" w:rsidRPr="007F789B">
        <w:rPr>
          <w:sz w:val="22"/>
          <w:szCs w:val="22"/>
        </w:rPr>
        <w:t>տեղադրելու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օրվան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հաջորդող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հինգերորդ</w:t>
      </w:r>
      <w:proofErr w:type="spellEnd"/>
      <w:r w:rsidR="00E650BC" w:rsidRPr="007F789B">
        <w:rPr>
          <w:sz w:val="22"/>
          <w:szCs w:val="22"/>
        </w:rPr>
        <w:t xml:space="preserve"> </w:t>
      </w:r>
      <w:proofErr w:type="spellStart"/>
      <w:r w:rsidR="00E650BC" w:rsidRPr="007F789B">
        <w:rPr>
          <w:sz w:val="22"/>
          <w:szCs w:val="22"/>
        </w:rPr>
        <w:t>օրը</w:t>
      </w:r>
      <w:proofErr w:type="spellEnd"/>
      <w:r w:rsidR="00E650BC" w:rsidRPr="007F789B">
        <w:rPr>
          <w:sz w:val="22"/>
          <w:szCs w:val="22"/>
        </w:rPr>
        <w:t>:</w:t>
      </w:r>
    </w:p>
    <w:p w:rsidR="00000000" w:rsidRPr="007F789B" w:rsidRDefault="007F789B" w:rsidP="007F789B">
      <w:pPr>
        <w:pStyle w:val="a3"/>
        <w:jc w:val="both"/>
        <w:divId w:val="1360156399"/>
        <w:rPr>
          <w:sz w:val="22"/>
          <w:szCs w:val="22"/>
        </w:rPr>
      </w:pPr>
      <w:r>
        <w:rPr>
          <w:sz w:val="22"/>
          <w:szCs w:val="22"/>
          <w:lang w:val="hy-AM"/>
        </w:rPr>
        <w:t>7.</w:t>
      </w:r>
      <w:r w:rsidR="00E650BC" w:rsidRPr="007F789B">
        <w:rPr>
          <w:sz w:val="22"/>
          <w:szCs w:val="22"/>
          <w:lang w:val="hy-AM"/>
        </w:rPr>
        <w:t>Սույն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որոշումը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կարող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է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վարչական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կարգով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բողոքարկվել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Վանաձոր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համայնքի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ղ</w:t>
      </w:r>
      <w:r w:rsidR="00E650BC" w:rsidRPr="007F789B">
        <w:rPr>
          <w:sz w:val="22"/>
          <w:szCs w:val="22"/>
          <w:lang w:val="hy-AM"/>
        </w:rPr>
        <w:t>եկավարին</w:t>
      </w:r>
      <w:r>
        <w:rPr>
          <w:rFonts w:ascii="Calibri" w:hAnsi="Calibri" w:cs="Calibri"/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դրա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ուժի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մեջ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մտնելու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օրվանից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երկու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ամսվա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ընթացքում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կամ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դատական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կարգով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Հայաստանի</w:t>
      </w:r>
      <w:r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Հանրապետության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վարչական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դատարան՝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երկամսյա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ժամկետում։</w:t>
      </w:r>
    </w:p>
    <w:p w:rsidR="00000000" w:rsidRPr="007F789B" w:rsidRDefault="007F789B" w:rsidP="007F789B">
      <w:pPr>
        <w:pStyle w:val="a3"/>
        <w:jc w:val="both"/>
        <w:divId w:val="1360156399"/>
        <w:rPr>
          <w:sz w:val="22"/>
          <w:szCs w:val="22"/>
        </w:rPr>
      </w:pPr>
      <w:r>
        <w:rPr>
          <w:sz w:val="22"/>
          <w:szCs w:val="22"/>
          <w:lang w:val="hy-AM"/>
        </w:rPr>
        <w:lastRenderedPageBreak/>
        <w:t>8.</w:t>
      </w:r>
      <w:r w:rsidR="00E650BC" w:rsidRPr="007F789B">
        <w:rPr>
          <w:sz w:val="22"/>
          <w:szCs w:val="22"/>
          <w:lang w:val="hy-AM"/>
        </w:rPr>
        <w:t>Սույն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որոշման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պահանջները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չկատարելու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դեպքում</w:t>
      </w:r>
      <w:r w:rsidR="00E650BC" w:rsidRPr="007F789B">
        <w:rPr>
          <w:sz w:val="22"/>
          <w:szCs w:val="22"/>
          <w:lang w:val="hy-AM"/>
        </w:rPr>
        <w:t>, «</w:t>
      </w:r>
      <w:r w:rsidR="00E650BC" w:rsidRPr="007F789B">
        <w:rPr>
          <w:sz w:val="22"/>
          <w:szCs w:val="22"/>
          <w:lang w:val="hy-AM"/>
        </w:rPr>
        <w:t>Վարչարարության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հիմունքների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և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վարչական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վարույթի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մասին</w:t>
      </w:r>
      <w:r w:rsidR="00E650BC" w:rsidRPr="007F789B">
        <w:rPr>
          <w:sz w:val="22"/>
          <w:szCs w:val="22"/>
          <w:lang w:val="hy-AM"/>
        </w:rPr>
        <w:t xml:space="preserve">» </w:t>
      </w:r>
      <w:r w:rsidR="00E650BC" w:rsidRPr="007F789B">
        <w:rPr>
          <w:sz w:val="22"/>
          <w:szCs w:val="22"/>
          <w:lang w:val="hy-AM"/>
        </w:rPr>
        <w:t>ՀՀ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օրենքի</w:t>
      </w:r>
      <w:r w:rsidR="00E650BC" w:rsidRPr="007F789B">
        <w:rPr>
          <w:sz w:val="22"/>
          <w:szCs w:val="22"/>
          <w:lang w:val="hy-AM"/>
        </w:rPr>
        <w:t xml:space="preserve"> 8</w:t>
      </w:r>
      <w:r w:rsidR="00E650BC" w:rsidRPr="007F789B">
        <w:rPr>
          <w:sz w:val="22"/>
          <w:szCs w:val="22"/>
          <w:lang w:val="hy-AM"/>
        </w:rPr>
        <w:t>8-</w:t>
      </w:r>
      <w:r w:rsidR="00E650BC" w:rsidRPr="007F789B">
        <w:rPr>
          <w:sz w:val="22"/>
          <w:szCs w:val="22"/>
          <w:lang w:val="hy-AM"/>
        </w:rPr>
        <w:t>րդ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հոդվածով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սահմանված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կարգով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այն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ենթակա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է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հարկադիր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կատարման</w:t>
      </w:r>
      <w:r w:rsidR="00E650BC" w:rsidRPr="007F789B">
        <w:rPr>
          <w:sz w:val="22"/>
          <w:szCs w:val="22"/>
          <w:lang w:val="hy-AM"/>
        </w:rPr>
        <w:t xml:space="preserve">` </w:t>
      </w:r>
      <w:r w:rsidR="00E650BC" w:rsidRPr="007F789B">
        <w:rPr>
          <w:sz w:val="22"/>
          <w:szCs w:val="22"/>
          <w:lang w:val="hy-AM"/>
        </w:rPr>
        <w:t>ՀՀ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հարկադիր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կատարումն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ապահովող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ծառայության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միջոցով</w:t>
      </w:r>
      <w:r w:rsidR="00E650BC" w:rsidRPr="007F789B">
        <w:rPr>
          <w:sz w:val="22"/>
          <w:szCs w:val="22"/>
          <w:lang w:val="hy-AM"/>
        </w:rPr>
        <w:t xml:space="preserve">` </w:t>
      </w:r>
      <w:r w:rsidR="00E650BC" w:rsidRPr="007F789B">
        <w:rPr>
          <w:sz w:val="22"/>
          <w:szCs w:val="22"/>
          <w:lang w:val="hy-AM"/>
        </w:rPr>
        <w:t>անբողոքարկելի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դառնալուց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հետո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եռամսյա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ժամկետում</w:t>
      </w:r>
      <w:r w:rsidR="00E650BC" w:rsidRPr="007F789B">
        <w:rPr>
          <w:sz w:val="22"/>
          <w:szCs w:val="22"/>
          <w:lang w:val="hy-AM"/>
        </w:rPr>
        <w:t>:</w:t>
      </w:r>
      <w:r w:rsidR="00E650BC" w:rsidRPr="007F789B">
        <w:rPr>
          <w:rFonts w:ascii="Calibri" w:hAnsi="Calibri" w:cs="Calibri"/>
          <w:sz w:val="22"/>
          <w:szCs w:val="22"/>
          <w:lang w:val="hy-AM"/>
        </w:rPr>
        <w:t> </w:t>
      </w:r>
    </w:p>
    <w:p w:rsidR="00000000" w:rsidRPr="007F789B" w:rsidRDefault="007F789B" w:rsidP="007F789B">
      <w:pPr>
        <w:pStyle w:val="a3"/>
        <w:jc w:val="both"/>
        <w:divId w:val="1360156399"/>
        <w:rPr>
          <w:sz w:val="22"/>
          <w:szCs w:val="22"/>
        </w:rPr>
      </w:pPr>
      <w:r>
        <w:rPr>
          <w:sz w:val="22"/>
          <w:szCs w:val="22"/>
          <w:lang w:val="hy-AM"/>
        </w:rPr>
        <w:t>9.</w:t>
      </w:r>
      <w:r w:rsidR="00E650BC" w:rsidRPr="007F789B">
        <w:rPr>
          <w:sz w:val="22"/>
          <w:szCs w:val="22"/>
          <w:lang w:val="hy-AM"/>
        </w:rPr>
        <w:t>Սույն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որոշման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կատարման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ընթացքի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նկատմամբ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հսկողությունն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իրականացնում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է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Վանաձոր</w:t>
      </w:r>
      <w:r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համայնքի</w:t>
      </w:r>
      <w:r w:rsidR="00E650BC" w:rsidRPr="007F789B">
        <w:rPr>
          <w:sz w:val="22"/>
          <w:szCs w:val="22"/>
          <w:lang w:val="hy-AM"/>
        </w:rPr>
        <w:t xml:space="preserve"> </w:t>
      </w:r>
      <w:r w:rsidR="00E650BC" w:rsidRPr="007F789B">
        <w:rPr>
          <w:sz w:val="22"/>
          <w:szCs w:val="22"/>
          <w:lang w:val="hy-AM"/>
        </w:rPr>
        <w:t>ղեկավարը։</w:t>
      </w:r>
    </w:p>
    <w:p w:rsidR="00000000" w:rsidRPr="007F789B" w:rsidRDefault="00E650BC" w:rsidP="007F789B">
      <w:pPr>
        <w:pStyle w:val="a3"/>
        <w:jc w:val="both"/>
        <w:divId w:val="1360156399"/>
        <w:rPr>
          <w:sz w:val="22"/>
          <w:szCs w:val="22"/>
        </w:rPr>
      </w:pPr>
      <w:r w:rsidRPr="007F789B">
        <w:rPr>
          <w:rFonts w:ascii="Calibri" w:hAnsi="Calibri" w:cs="Calibri"/>
          <w:sz w:val="22"/>
          <w:szCs w:val="22"/>
        </w:rPr>
        <w:t> </w:t>
      </w:r>
    </w:p>
    <w:p w:rsidR="007F789B" w:rsidRDefault="007F789B" w:rsidP="007F789B">
      <w:pPr>
        <w:pStyle w:val="a3"/>
        <w:ind w:left="708"/>
        <w:divId w:val="1360156399"/>
        <w:rPr>
          <w:rStyle w:val="a4"/>
          <w:b w:val="0"/>
          <w:sz w:val="22"/>
          <w:szCs w:val="22"/>
        </w:rPr>
      </w:pPr>
    </w:p>
    <w:p w:rsidR="007F789B" w:rsidRDefault="007F789B" w:rsidP="007F789B">
      <w:pPr>
        <w:pStyle w:val="a3"/>
        <w:ind w:left="708"/>
        <w:divId w:val="1360156399"/>
        <w:rPr>
          <w:rStyle w:val="a4"/>
          <w:b w:val="0"/>
          <w:sz w:val="22"/>
          <w:szCs w:val="22"/>
        </w:rPr>
      </w:pPr>
    </w:p>
    <w:p w:rsidR="007F789B" w:rsidRDefault="007F789B" w:rsidP="007F789B">
      <w:pPr>
        <w:pStyle w:val="a3"/>
        <w:ind w:left="708"/>
        <w:divId w:val="1360156399"/>
        <w:rPr>
          <w:rStyle w:val="a4"/>
          <w:b w:val="0"/>
          <w:sz w:val="22"/>
          <w:szCs w:val="22"/>
        </w:rPr>
      </w:pPr>
    </w:p>
    <w:p w:rsidR="00000000" w:rsidRPr="007F789B" w:rsidRDefault="00E650BC" w:rsidP="007F789B">
      <w:pPr>
        <w:pStyle w:val="a3"/>
        <w:ind w:left="708"/>
        <w:divId w:val="1360156399"/>
        <w:rPr>
          <w:b/>
          <w:sz w:val="22"/>
          <w:szCs w:val="22"/>
        </w:rPr>
      </w:pPr>
      <w:r w:rsidRPr="007F789B">
        <w:rPr>
          <w:rStyle w:val="a4"/>
          <w:b w:val="0"/>
          <w:sz w:val="22"/>
          <w:szCs w:val="22"/>
        </w:rPr>
        <w:t>ՀԱՄԱՅՆՔԻ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b w:val="0"/>
          <w:sz w:val="22"/>
          <w:szCs w:val="22"/>
        </w:rPr>
        <w:t>ՂԵԿԱՎԱՐԻ</w:t>
      </w:r>
      <w:r w:rsidRPr="007F789B">
        <w:rPr>
          <w:rStyle w:val="a4"/>
          <w:b w:val="0"/>
          <w:sz w:val="22"/>
          <w:szCs w:val="22"/>
        </w:rPr>
        <w:t xml:space="preserve"> </w:t>
      </w:r>
      <w:r w:rsidR="007F789B">
        <w:rPr>
          <w:rStyle w:val="a4"/>
          <w:b w:val="0"/>
          <w:sz w:val="22"/>
          <w:szCs w:val="22"/>
        </w:rPr>
        <w:br/>
      </w:r>
      <w:r w:rsidR="007F789B">
        <w:rPr>
          <w:rStyle w:val="a4"/>
          <w:b w:val="0"/>
          <w:sz w:val="22"/>
          <w:szCs w:val="22"/>
          <w:lang w:val="hy-AM"/>
        </w:rPr>
        <w:t xml:space="preserve">    </w:t>
      </w:r>
      <w:r w:rsidRPr="007F789B">
        <w:rPr>
          <w:rStyle w:val="a4"/>
          <w:b w:val="0"/>
          <w:sz w:val="22"/>
          <w:szCs w:val="22"/>
        </w:rPr>
        <w:t>ՊԱՇՏՈՆԱԿԱՏԱՐ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="007F789B">
        <w:rPr>
          <w:rStyle w:val="a4"/>
          <w:rFonts w:ascii="Calibri" w:hAnsi="Calibri" w:cs="Calibri"/>
          <w:b w:val="0"/>
          <w:sz w:val="22"/>
          <w:szCs w:val="22"/>
          <w:lang w:val="hy-AM"/>
        </w:rPr>
        <w:t xml:space="preserve">                            </w:t>
      </w:r>
      <w:r w:rsidRPr="007F789B">
        <w:rPr>
          <w:rStyle w:val="a4"/>
          <w:b w:val="0"/>
          <w:sz w:val="22"/>
          <w:szCs w:val="22"/>
        </w:rPr>
        <w:t xml:space="preserve"> </w:t>
      </w:r>
      <w:r w:rsidRPr="007F789B">
        <w:rPr>
          <w:rStyle w:val="a4"/>
          <w:b w:val="0"/>
          <w:sz w:val="22"/>
          <w:szCs w:val="22"/>
        </w:rPr>
        <w:t>Ա</w:t>
      </w:r>
      <w:r w:rsidRPr="007F789B">
        <w:rPr>
          <w:rStyle w:val="a4"/>
          <w:b w:val="0"/>
          <w:sz w:val="22"/>
          <w:szCs w:val="22"/>
        </w:rPr>
        <w:t>.</w:t>
      </w:r>
      <w:r w:rsidRPr="007F789B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7F789B">
        <w:rPr>
          <w:rStyle w:val="a4"/>
          <w:b w:val="0"/>
          <w:sz w:val="22"/>
          <w:szCs w:val="22"/>
        </w:rPr>
        <w:t>ՓԵԼԵՇՅԱՆ</w:t>
      </w:r>
    </w:p>
    <w:p w:rsidR="00000000" w:rsidRDefault="00E650BC">
      <w:pPr>
        <w:pStyle w:val="a3"/>
        <w:jc w:val="center"/>
        <w:divId w:val="1360156399"/>
      </w:pPr>
      <w:r>
        <w:rPr>
          <w:rFonts w:ascii="Calibri" w:hAnsi="Calibri" w:cs="Calibri"/>
        </w:rPr>
        <w:t> </w:t>
      </w:r>
    </w:p>
    <w:p w:rsidR="00E650BC" w:rsidRPr="007F789B" w:rsidRDefault="00E650BC">
      <w:pPr>
        <w:pStyle w:val="a3"/>
        <w:divId w:val="1360156399"/>
        <w:rPr>
          <w:sz w:val="18"/>
          <w:szCs w:val="18"/>
        </w:rPr>
      </w:pPr>
      <w:r w:rsidRPr="007F789B">
        <w:rPr>
          <w:sz w:val="18"/>
          <w:szCs w:val="18"/>
        </w:rPr>
        <w:t>2025</w:t>
      </w:r>
      <w:r w:rsidRPr="007F789B">
        <w:rPr>
          <w:sz w:val="18"/>
          <w:szCs w:val="18"/>
        </w:rPr>
        <w:t>թ</w:t>
      </w:r>
      <w:r w:rsidRPr="007F789B">
        <w:rPr>
          <w:sz w:val="18"/>
          <w:szCs w:val="18"/>
        </w:rPr>
        <w:t xml:space="preserve">. </w:t>
      </w:r>
      <w:proofErr w:type="spellStart"/>
      <w:r w:rsidRPr="007F789B">
        <w:rPr>
          <w:sz w:val="18"/>
          <w:szCs w:val="18"/>
        </w:rPr>
        <w:t>ապրիլի</w:t>
      </w:r>
      <w:proofErr w:type="spellEnd"/>
      <w:r w:rsidRPr="007F789B">
        <w:rPr>
          <w:sz w:val="18"/>
          <w:szCs w:val="18"/>
        </w:rPr>
        <w:t xml:space="preserve"> 10</w:t>
      </w:r>
      <w:r w:rsidRPr="007F789B">
        <w:rPr>
          <w:sz w:val="18"/>
          <w:szCs w:val="18"/>
        </w:rPr>
        <w:br/>
      </w:r>
      <w:proofErr w:type="spellStart"/>
      <w:r w:rsidRPr="007F789B">
        <w:rPr>
          <w:sz w:val="18"/>
          <w:szCs w:val="18"/>
        </w:rPr>
        <w:t>ք</w:t>
      </w:r>
      <w:r w:rsidRPr="007F789B">
        <w:rPr>
          <w:sz w:val="18"/>
          <w:szCs w:val="18"/>
        </w:rPr>
        <w:t>.</w:t>
      </w:r>
      <w:r w:rsidRPr="007F789B">
        <w:rPr>
          <w:sz w:val="18"/>
          <w:szCs w:val="18"/>
        </w:rPr>
        <w:t>Վանաձոր</w:t>
      </w:r>
      <w:proofErr w:type="spellEnd"/>
    </w:p>
    <w:sectPr w:rsidR="00E650BC" w:rsidRPr="007F789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F8D"/>
    <w:rsid w:val="007F789B"/>
    <w:rsid w:val="00D74F8D"/>
    <w:rsid w:val="00E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69100-8E91-4218-B2DC-B7964D3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2025-04-10T11:09:00Z</cp:lastPrinted>
  <dcterms:created xsi:type="dcterms:W3CDTF">2025-04-10T11:05:00Z</dcterms:created>
  <dcterms:modified xsi:type="dcterms:W3CDTF">2025-04-10T11:09:00Z</dcterms:modified>
</cp:coreProperties>
</file>